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8B42" w14:textId="403CD878" w:rsidR="00CD4419" w:rsidRPr="0084776C" w:rsidRDefault="0037212C">
      <w:pPr>
        <w:jc w:val="center"/>
        <w:rPr>
          <w:sz w:val="18"/>
          <w:szCs w:val="18"/>
        </w:rPr>
      </w:pPr>
      <w:r>
        <w:rPr>
          <w:b/>
          <w:bCs/>
          <w:sz w:val="18"/>
          <w:szCs w:val="18"/>
        </w:rPr>
        <w:t>2016</w:t>
      </w:r>
      <w:r w:rsidR="00CA751B" w:rsidRPr="0084776C">
        <w:rPr>
          <w:b/>
          <w:bCs/>
          <w:sz w:val="18"/>
          <w:szCs w:val="18"/>
        </w:rPr>
        <w:t xml:space="preserve"> Integrating Gender </w:t>
      </w:r>
      <w:r>
        <w:rPr>
          <w:b/>
          <w:bCs/>
          <w:sz w:val="18"/>
          <w:szCs w:val="18"/>
        </w:rPr>
        <w:t xml:space="preserve">Plan for SILT </w:t>
      </w:r>
    </w:p>
    <w:p w14:paraId="18B82CB5" w14:textId="77777777" w:rsidR="00CD4419" w:rsidRPr="0084776C" w:rsidRDefault="00CD4419">
      <w:pPr>
        <w:rPr>
          <w:b/>
          <w:bCs/>
          <w:sz w:val="18"/>
          <w:szCs w:val="18"/>
        </w:rPr>
      </w:pPr>
    </w:p>
    <w:tbl>
      <w:tblPr>
        <w:tblStyle w:val="TableGrid"/>
        <w:tblW w:w="5000" w:type="pct"/>
        <w:tblInd w:w="113" w:type="dxa"/>
        <w:tblLook w:val="04A0" w:firstRow="1" w:lastRow="0" w:firstColumn="1" w:lastColumn="0" w:noHBand="0" w:noVBand="1"/>
      </w:tblPr>
      <w:tblGrid>
        <w:gridCol w:w="4390"/>
        <w:gridCol w:w="10396"/>
      </w:tblGrid>
      <w:tr w:rsidR="009A54C6" w:rsidRPr="0084776C" w14:paraId="78C6EBBB" w14:textId="77777777" w:rsidTr="009A54C6">
        <w:tc>
          <w:tcPr>
            <w:tcW w:w="4390" w:type="dxa"/>
            <w:shd w:val="clear" w:color="auto" w:fill="EEEEEE"/>
            <w:tcMar>
              <w:left w:w="108" w:type="dxa"/>
            </w:tcMar>
          </w:tcPr>
          <w:p w14:paraId="6C97EB66" w14:textId="77777777" w:rsidR="009A54C6" w:rsidRPr="0084776C" w:rsidRDefault="009A54C6">
            <w:pPr>
              <w:jc w:val="center"/>
              <w:rPr>
                <w:b/>
                <w:bCs/>
                <w:sz w:val="18"/>
                <w:szCs w:val="18"/>
              </w:rPr>
            </w:pPr>
            <w:r w:rsidRPr="0084776C">
              <w:rPr>
                <w:b/>
                <w:bCs/>
                <w:sz w:val="18"/>
                <w:szCs w:val="18"/>
              </w:rPr>
              <w:t>Project Name</w:t>
            </w:r>
          </w:p>
        </w:tc>
        <w:tc>
          <w:tcPr>
            <w:tcW w:w="10396" w:type="dxa"/>
            <w:shd w:val="clear" w:color="auto" w:fill="EEEEEE"/>
            <w:tcMar>
              <w:left w:w="108" w:type="dxa"/>
            </w:tcMar>
          </w:tcPr>
          <w:p w14:paraId="6875583C" w14:textId="77777777" w:rsidR="009A54C6" w:rsidRPr="0084776C" w:rsidRDefault="009A54C6" w:rsidP="0037212C">
            <w:pPr>
              <w:rPr>
                <w:b/>
                <w:bCs/>
                <w:sz w:val="18"/>
                <w:szCs w:val="18"/>
              </w:rPr>
            </w:pPr>
            <w:r w:rsidRPr="0084776C">
              <w:rPr>
                <w:b/>
                <w:bCs/>
                <w:sz w:val="18"/>
                <w:szCs w:val="18"/>
              </w:rPr>
              <w:t xml:space="preserve">Plan Owner(s) </w:t>
            </w:r>
          </w:p>
        </w:tc>
      </w:tr>
      <w:tr w:rsidR="009A54C6" w:rsidRPr="0084776C" w14:paraId="69F06409" w14:textId="77777777" w:rsidTr="009A54C6">
        <w:trPr>
          <w:trHeight w:val="348"/>
        </w:trPr>
        <w:tc>
          <w:tcPr>
            <w:tcW w:w="4390" w:type="dxa"/>
            <w:shd w:val="clear" w:color="auto" w:fill="auto"/>
            <w:tcMar>
              <w:left w:w="108" w:type="dxa"/>
            </w:tcMar>
          </w:tcPr>
          <w:p w14:paraId="024E6165" w14:textId="21C6E5F1" w:rsidR="009A54C6" w:rsidRPr="0084776C" w:rsidRDefault="009A54C6">
            <w:pPr>
              <w:rPr>
                <w:b/>
                <w:bCs/>
                <w:sz w:val="18"/>
                <w:szCs w:val="18"/>
              </w:rPr>
            </w:pPr>
            <w:r>
              <w:rPr>
                <w:b/>
                <w:bCs/>
                <w:sz w:val="18"/>
                <w:szCs w:val="18"/>
              </w:rPr>
              <w:t xml:space="preserve">Scaling-up Legume Technology </w:t>
            </w:r>
          </w:p>
        </w:tc>
        <w:tc>
          <w:tcPr>
            <w:tcW w:w="10396" w:type="dxa"/>
            <w:shd w:val="clear" w:color="auto" w:fill="auto"/>
            <w:tcMar>
              <w:left w:w="108" w:type="dxa"/>
            </w:tcMar>
          </w:tcPr>
          <w:p w14:paraId="66702517" w14:textId="77777777" w:rsidR="009A54C6" w:rsidRDefault="009A54C6">
            <w:pPr>
              <w:rPr>
                <w:b/>
                <w:bCs/>
                <w:sz w:val="18"/>
                <w:szCs w:val="18"/>
              </w:rPr>
            </w:pPr>
            <w:r>
              <w:rPr>
                <w:b/>
                <w:bCs/>
                <w:sz w:val="18"/>
                <w:szCs w:val="18"/>
              </w:rPr>
              <w:t>CABI</w:t>
            </w:r>
          </w:p>
          <w:p w14:paraId="3437E434" w14:textId="77777777" w:rsidR="009A54C6" w:rsidRDefault="009A54C6">
            <w:pPr>
              <w:rPr>
                <w:b/>
                <w:bCs/>
                <w:sz w:val="18"/>
                <w:szCs w:val="18"/>
              </w:rPr>
            </w:pPr>
            <w:r>
              <w:rPr>
                <w:b/>
                <w:bCs/>
                <w:sz w:val="18"/>
                <w:szCs w:val="18"/>
              </w:rPr>
              <w:t xml:space="preserve">Farm Radio International </w:t>
            </w:r>
          </w:p>
          <w:p w14:paraId="206BFDB2" w14:textId="2DC1F095" w:rsidR="009A54C6" w:rsidRPr="0084776C" w:rsidRDefault="009A54C6">
            <w:pPr>
              <w:rPr>
                <w:b/>
                <w:bCs/>
                <w:sz w:val="18"/>
                <w:szCs w:val="18"/>
              </w:rPr>
            </w:pPr>
            <w:r>
              <w:rPr>
                <w:b/>
                <w:bCs/>
                <w:sz w:val="18"/>
                <w:szCs w:val="18"/>
              </w:rPr>
              <w:t xml:space="preserve">Africa Fertilizer Agribusiness Partnership </w:t>
            </w:r>
          </w:p>
        </w:tc>
      </w:tr>
    </w:tbl>
    <w:p w14:paraId="463AAD52" w14:textId="5F3A5CB4" w:rsidR="00CD4419" w:rsidRPr="0084776C" w:rsidRDefault="00CD4419">
      <w:pPr>
        <w:rPr>
          <w:b/>
          <w:bCs/>
          <w:sz w:val="18"/>
          <w:szCs w:val="18"/>
        </w:rPr>
      </w:pPr>
    </w:p>
    <w:tbl>
      <w:tblPr>
        <w:tblW w:w="5000" w:type="pct"/>
        <w:tblInd w:w="54"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1578"/>
        <w:gridCol w:w="2910"/>
        <w:gridCol w:w="4317"/>
        <w:gridCol w:w="2012"/>
        <w:gridCol w:w="3859"/>
      </w:tblGrid>
      <w:tr w:rsidR="0084776C" w:rsidRPr="0084776C" w14:paraId="4A33C8C1" w14:textId="77777777" w:rsidTr="00DA02D8">
        <w:tc>
          <w:tcPr>
            <w:tcW w:w="1578" w:type="dxa"/>
            <w:tcBorders>
              <w:top w:val="single" w:sz="2" w:space="0" w:color="000001"/>
              <w:left w:val="single" w:sz="2" w:space="0" w:color="000001"/>
              <w:bottom w:val="single" w:sz="2" w:space="0" w:color="000001"/>
            </w:tcBorders>
            <w:shd w:val="clear" w:color="auto" w:fill="EEEEEE"/>
            <w:tcMar>
              <w:left w:w="51" w:type="dxa"/>
            </w:tcMar>
            <w:vAlign w:val="center"/>
          </w:tcPr>
          <w:p w14:paraId="17821E34" w14:textId="77777777" w:rsidR="0084776C" w:rsidRDefault="00DA02D8" w:rsidP="00DA02D8">
            <w:pPr>
              <w:pStyle w:val="TableContents"/>
              <w:jc w:val="both"/>
              <w:rPr>
                <w:b/>
                <w:bCs/>
                <w:sz w:val="18"/>
                <w:szCs w:val="18"/>
              </w:rPr>
            </w:pPr>
            <w:r>
              <w:rPr>
                <w:b/>
                <w:bCs/>
                <w:sz w:val="18"/>
                <w:szCs w:val="18"/>
              </w:rPr>
              <w:t>Area</w:t>
            </w:r>
          </w:p>
          <w:p w14:paraId="75CD76DF" w14:textId="77777777" w:rsidR="00DA02D8" w:rsidRDefault="00DA02D8" w:rsidP="00DA02D8">
            <w:pPr>
              <w:pStyle w:val="TableContents"/>
              <w:jc w:val="both"/>
              <w:rPr>
                <w:b/>
                <w:bCs/>
                <w:sz w:val="18"/>
                <w:szCs w:val="18"/>
              </w:rPr>
            </w:pPr>
          </w:p>
          <w:p w14:paraId="54180CE3" w14:textId="276CE461" w:rsidR="00DA02D8" w:rsidRPr="0084776C" w:rsidRDefault="00DA02D8" w:rsidP="00DA02D8">
            <w:pPr>
              <w:pStyle w:val="TableContents"/>
              <w:jc w:val="both"/>
              <w:rPr>
                <w:sz w:val="18"/>
                <w:szCs w:val="18"/>
              </w:rPr>
            </w:pPr>
          </w:p>
        </w:tc>
        <w:tc>
          <w:tcPr>
            <w:tcW w:w="2910" w:type="dxa"/>
            <w:tcBorders>
              <w:top w:val="single" w:sz="2" w:space="0" w:color="000001"/>
              <w:left w:val="single" w:sz="2" w:space="0" w:color="000001"/>
              <w:bottom w:val="single" w:sz="2" w:space="0" w:color="000001"/>
            </w:tcBorders>
            <w:shd w:val="clear" w:color="auto" w:fill="EEEEEE"/>
            <w:tcMar>
              <w:left w:w="51" w:type="dxa"/>
            </w:tcMar>
            <w:vAlign w:val="center"/>
          </w:tcPr>
          <w:p w14:paraId="39B34219" w14:textId="3611C61F" w:rsidR="0084776C" w:rsidRPr="0084776C" w:rsidRDefault="0084776C" w:rsidP="00DA02D8">
            <w:pPr>
              <w:pStyle w:val="TableContents"/>
              <w:rPr>
                <w:b/>
                <w:bCs/>
                <w:sz w:val="18"/>
                <w:szCs w:val="18"/>
              </w:rPr>
            </w:pPr>
            <w:r w:rsidRPr="0084776C">
              <w:rPr>
                <w:b/>
                <w:bCs/>
                <w:sz w:val="18"/>
                <w:szCs w:val="18"/>
              </w:rPr>
              <w:t>Key areas to strengthen gender integration in our own project/ organisation</w:t>
            </w:r>
          </w:p>
        </w:tc>
        <w:tc>
          <w:tcPr>
            <w:tcW w:w="4317" w:type="dxa"/>
            <w:tcBorders>
              <w:top w:val="single" w:sz="2" w:space="0" w:color="000001"/>
              <w:left w:val="single" w:sz="2" w:space="0" w:color="000001"/>
              <w:bottom w:val="single" w:sz="2" w:space="0" w:color="000001"/>
            </w:tcBorders>
            <w:shd w:val="clear" w:color="auto" w:fill="EEEEEE"/>
            <w:tcMar>
              <w:left w:w="51" w:type="dxa"/>
            </w:tcMar>
            <w:vAlign w:val="center"/>
          </w:tcPr>
          <w:p w14:paraId="1543EBC0" w14:textId="77777777" w:rsidR="0084776C" w:rsidRDefault="00DA02D8" w:rsidP="00DA02D8">
            <w:pPr>
              <w:pStyle w:val="TableContents"/>
              <w:rPr>
                <w:b/>
                <w:bCs/>
                <w:sz w:val="18"/>
                <w:szCs w:val="18"/>
              </w:rPr>
            </w:pPr>
            <w:r>
              <w:rPr>
                <w:b/>
                <w:bCs/>
                <w:sz w:val="18"/>
                <w:szCs w:val="18"/>
              </w:rPr>
              <w:t xml:space="preserve">Legume Alliance plan </w:t>
            </w:r>
          </w:p>
          <w:p w14:paraId="4E9B4779" w14:textId="77777777" w:rsidR="00DA02D8" w:rsidRDefault="00DA02D8" w:rsidP="00DA02D8">
            <w:pPr>
              <w:pStyle w:val="TableContents"/>
              <w:rPr>
                <w:b/>
                <w:bCs/>
                <w:sz w:val="18"/>
                <w:szCs w:val="18"/>
              </w:rPr>
            </w:pPr>
          </w:p>
          <w:p w14:paraId="2CFB868F" w14:textId="66563BE0" w:rsidR="00DA02D8" w:rsidRPr="0084776C" w:rsidRDefault="00DA02D8" w:rsidP="00DA02D8">
            <w:pPr>
              <w:pStyle w:val="TableContents"/>
              <w:rPr>
                <w:sz w:val="18"/>
                <w:szCs w:val="18"/>
              </w:rPr>
            </w:pPr>
          </w:p>
        </w:tc>
        <w:tc>
          <w:tcPr>
            <w:tcW w:w="2012" w:type="dxa"/>
            <w:tcBorders>
              <w:top w:val="single" w:sz="2" w:space="0" w:color="000001"/>
              <w:left w:val="single" w:sz="2" w:space="0" w:color="000001"/>
              <w:bottom w:val="single" w:sz="2" w:space="0" w:color="000001"/>
            </w:tcBorders>
            <w:shd w:val="clear" w:color="auto" w:fill="EEEEEE"/>
            <w:tcMar>
              <w:left w:w="51" w:type="dxa"/>
            </w:tcMar>
            <w:vAlign w:val="center"/>
          </w:tcPr>
          <w:p w14:paraId="57488607" w14:textId="77777777" w:rsidR="0084776C" w:rsidRDefault="0084776C" w:rsidP="00DA02D8">
            <w:pPr>
              <w:pStyle w:val="TableContents"/>
              <w:jc w:val="center"/>
              <w:rPr>
                <w:b/>
                <w:bCs/>
                <w:sz w:val="18"/>
                <w:szCs w:val="18"/>
              </w:rPr>
            </w:pPr>
            <w:r w:rsidRPr="0084776C">
              <w:rPr>
                <w:b/>
                <w:bCs/>
                <w:sz w:val="18"/>
                <w:szCs w:val="18"/>
              </w:rPr>
              <w:t xml:space="preserve">Time-frame to achieve </w:t>
            </w:r>
          </w:p>
          <w:p w14:paraId="144AABC3" w14:textId="77777777" w:rsidR="00DA02D8" w:rsidRDefault="00DA02D8" w:rsidP="00DA02D8">
            <w:pPr>
              <w:pStyle w:val="TableContents"/>
              <w:jc w:val="center"/>
              <w:rPr>
                <w:b/>
                <w:bCs/>
                <w:sz w:val="18"/>
                <w:szCs w:val="18"/>
              </w:rPr>
            </w:pPr>
          </w:p>
          <w:p w14:paraId="4865EEBF" w14:textId="62EA72F1" w:rsidR="00DA02D8" w:rsidRPr="0084776C" w:rsidRDefault="00DA02D8" w:rsidP="00DA02D8">
            <w:pPr>
              <w:pStyle w:val="TableContents"/>
              <w:jc w:val="center"/>
              <w:rPr>
                <w:b/>
                <w:bCs/>
                <w:sz w:val="18"/>
                <w:szCs w:val="18"/>
              </w:rPr>
            </w:pPr>
          </w:p>
        </w:tc>
        <w:tc>
          <w:tcPr>
            <w:tcW w:w="3859"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0FAC1CED" w14:textId="77777777" w:rsidR="00DA02D8" w:rsidRDefault="0084776C" w:rsidP="00DA02D8">
            <w:pPr>
              <w:pStyle w:val="TableContents"/>
              <w:rPr>
                <w:b/>
                <w:bCs/>
                <w:sz w:val="18"/>
                <w:szCs w:val="18"/>
              </w:rPr>
            </w:pPr>
            <w:r w:rsidRPr="0084776C">
              <w:rPr>
                <w:b/>
                <w:bCs/>
                <w:sz w:val="18"/>
                <w:szCs w:val="18"/>
              </w:rPr>
              <w:t>Relevant tools and resources</w:t>
            </w:r>
          </w:p>
          <w:p w14:paraId="695670C6" w14:textId="77777777" w:rsidR="0084776C" w:rsidRDefault="0084776C" w:rsidP="00DA02D8">
            <w:pPr>
              <w:pStyle w:val="TableContents"/>
              <w:rPr>
                <w:b/>
                <w:bCs/>
                <w:sz w:val="18"/>
                <w:szCs w:val="18"/>
              </w:rPr>
            </w:pPr>
            <w:r w:rsidRPr="0084776C">
              <w:rPr>
                <w:b/>
                <w:bCs/>
                <w:sz w:val="18"/>
                <w:szCs w:val="18"/>
              </w:rPr>
              <w:t xml:space="preserve"> OR technical /other support </w:t>
            </w:r>
          </w:p>
          <w:p w14:paraId="0984E437" w14:textId="58DE75B4" w:rsidR="00DA02D8" w:rsidRPr="0084776C" w:rsidRDefault="00DA02D8" w:rsidP="00DA02D8">
            <w:pPr>
              <w:pStyle w:val="TableContents"/>
              <w:rPr>
                <w:b/>
                <w:bCs/>
                <w:sz w:val="18"/>
                <w:szCs w:val="18"/>
              </w:rPr>
            </w:pPr>
          </w:p>
        </w:tc>
      </w:tr>
      <w:tr w:rsidR="009A54C6" w:rsidRPr="0084776C" w14:paraId="4C678120" w14:textId="77777777" w:rsidTr="009A54C6">
        <w:tc>
          <w:tcPr>
            <w:tcW w:w="1578" w:type="dxa"/>
            <w:vMerge w:val="restart"/>
            <w:tcBorders>
              <w:top w:val="single" w:sz="2" w:space="0" w:color="000001"/>
              <w:left w:val="single" w:sz="2" w:space="0" w:color="000001"/>
            </w:tcBorders>
            <w:shd w:val="clear" w:color="auto" w:fill="auto"/>
            <w:tcMar>
              <w:left w:w="51" w:type="dxa"/>
            </w:tcMar>
            <w:vAlign w:val="center"/>
          </w:tcPr>
          <w:p w14:paraId="7949377A" w14:textId="77777777" w:rsidR="0037212C" w:rsidRDefault="009A54C6" w:rsidP="001C6BED">
            <w:pPr>
              <w:pStyle w:val="TableContents"/>
              <w:rPr>
                <w:b/>
                <w:sz w:val="18"/>
                <w:szCs w:val="18"/>
              </w:rPr>
            </w:pPr>
            <w:r w:rsidRPr="009A54C6">
              <w:rPr>
                <w:b/>
                <w:sz w:val="18"/>
                <w:szCs w:val="18"/>
              </w:rPr>
              <w:t>1 Gender analysis</w:t>
            </w:r>
          </w:p>
          <w:p w14:paraId="68C71A22" w14:textId="77777777" w:rsidR="0037212C" w:rsidRDefault="0037212C" w:rsidP="001C6BED">
            <w:pPr>
              <w:pStyle w:val="TableContents"/>
              <w:rPr>
                <w:b/>
                <w:sz w:val="18"/>
                <w:szCs w:val="18"/>
              </w:rPr>
            </w:pPr>
          </w:p>
          <w:p w14:paraId="39428B3B" w14:textId="77777777" w:rsidR="0037212C" w:rsidRDefault="0037212C" w:rsidP="001C6BED">
            <w:pPr>
              <w:pStyle w:val="TableContents"/>
              <w:rPr>
                <w:b/>
                <w:sz w:val="18"/>
                <w:szCs w:val="18"/>
              </w:rPr>
            </w:pPr>
          </w:p>
          <w:p w14:paraId="48E41A18" w14:textId="77777777" w:rsidR="0037212C" w:rsidRDefault="0037212C" w:rsidP="001C6BED">
            <w:pPr>
              <w:pStyle w:val="TableContents"/>
              <w:rPr>
                <w:b/>
                <w:sz w:val="18"/>
                <w:szCs w:val="18"/>
              </w:rPr>
            </w:pPr>
          </w:p>
          <w:p w14:paraId="71C9E561" w14:textId="77777777" w:rsidR="0037212C" w:rsidRDefault="0037212C" w:rsidP="001C6BED">
            <w:pPr>
              <w:pStyle w:val="TableContents"/>
              <w:rPr>
                <w:b/>
                <w:sz w:val="18"/>
                <w:szCs w:val="18"/>
              </w:rPr>
            </w:pPr>
          </w:p>
          <w:p w14:paraId="6971B232" w14:textId="77777777" w:rsidR="0037212C" w:rsidRDefault="0037212C" w:rsidP="001C6BED">
            <w:pPr>
              <w:pStyle w:val="TableContents"/>
              <w:rPr>
                <w:b/>
                <w:sz w:val="18"/>
                <w:szCs w:val="18"/>
              </w:rPr>
            </w:pPr>
          </w:p>
          <w:p w14:paraId="49CE2106" w14:textId="77777777" w:rsidR="0037212C" w:rsidRDefault="0037212C" w:rsidP="001C6BED">
            <w:pPr>
              <w:pStyle w:val="TableContents"/>
              <w:rPr>
                <w:b/>
                <w:sz w:val="18"/>
                <w:szCs w:val="18"/>
              </w:rPr>
            </w:pPr>
          </w:p>
          <w:p w14:paraId="03D5BC80" w14:textId="77777777" w:rsidR="0037212C" w:rsidRDefault="0037212C" w:rsidP="001C6BED">
            <w:pPr>
              <w:pStyle w:val="TableContents"/>
              <w:rPr>
                <w:b/>
                <w:sz w:val="18"/>
                <w:szCs w:val="18"/>
              </w:rPr>
            </w:pPr>
          </w:p>
          <w:p w14:paraId="39AD1B65" w14:textId="77777777" w:rsidR="0037212C" w:rsidRDefault="0037212C" w:rsidP="001C6BED">
            <w:pPr>
              <w:pStyle w:val="TableContents"/>
              <w:rPr>
                <w:b/>
                <w:sz w:val="18"/>
                <w:szCs w:val="18"/>
              </w:rPr>
            </w:pPr>
          </w:p>
          <w:p w14:paraId="4100C191" w14:textId="77777777" w:rsidR="0037212C" w:rsidRDefault="0037212C" w:rsidP="001C6BED">
            <w:pPr>
              <w:pStyle w:val="TableContents"/>
              <w:rPr>
                <w:b/>
                <w:sz w:val="18"/>
                <w:szCs w:val="18"/>
              </w:rPr>
            </w:pPr>
          </w:p>
          <w:p w14:paraId="550EA347" w14:textId="77777777" w:rsidR="0037212C" w:rsidRDefault="0037212C" w:rsidP="001C6BED">
            <w:pPr>
              <w:pStyle w:val="TableContents"/>
              <w:rPr>
                <w:b/>
                <w:sz w:val="18"/>
                <w:szCs w:val="18"/>
              </w:rPr>
            </w:pPr>
          </w:p>
          <w:p w14:paraId="2D9ABF33" w14:textId="77777777" w:rsidR="0037212C" w:rsidRDefault="0037212C" w:rsidP="001C6BED">
            <w:pPr>
              <w:pStyle w:val="TableContents"/>
              <w:rPr>
                <w:b/>
                <w:sz w:val="18"/>
                <w:szCs w:val="18"/>
              </w:rPr>
            </w:pPr>
          </w:p>
          <w:p w14:paraId="24A5CA4A" w14:textId="77777777" w:rsidR="0037212C" w:rsidRDefault="0037212C" w:rsidP="001C6BED">
            <w:pPr>
              <w:pStyle w:val="TableContents"/>
              <w:rPr>
                <w:b/>
                <w:sz w:val="18"/>
                <w:szCs w:val="18"/>
              </w:rPr>
            </w:pPr>
          </w:p>
          <w:p w14:paraId="074E4CA8" w14:textId="77777777" w:rsidR="0037212C" w:rsidRDefault="0037212C" w:rsidP="001C6BED">
            <w:pPr>
              <w:pStyle w:val="TableContents"/>
              <w:rPr>
                <w:b/>
                <w:sz w:val="18"/>
                <w:szCs w:val="18"/>
              </w:rPr>
            </w:pPr>
          </w:p>
          <w:p w14:paraId="61DF7F5A" w14:textId="77777777" w:rsidR="0037212C" w:rsidRDefault="0037212C" w:rsidP="001C6BED">
            <w:pPr>
              <w:pStyle w:val="TableContents"/>
              <w:rPr>
                <w:b/>
                <w:sz w:val="18"/>
                <w:szCs w:val="18"/>
              </w:rPr>
            </w:pPr>
          </w:p>
          <w:p w14:paraId="562593FC" w14:textId="77777777" w:rsidR="0037212C" w:rsidRDefault="0037212C" w:rsidP="001C6BED">
            <w:pPr>
              <w:pStyle w:val="TableContents"/>
              <w:rPr>
                <w:b/>
                <w:sz w:val="18"/>
                <w:szCs w:val="18"/>
              </w:rPr>
            </w:pPr>
          </w:p>
          <w:p w14:paraId="7FF51961" w14:textId="08E232E4" w:rsidR="009A54C6" w:rsidRPr="009A54C6" w:rsidRDefault="009A54C6" w:rsidP="001C6BED">
            <w:pPr>
              <w:pStyle w:val="TableContents"/>
              <w:rPr>
                <w:b/>
                <w:sz w:val="18"/>
                <w:szCs w:val="18"/>
              </w:rPr>
            </w:pPr>
            <w:r w:rsidRPr="009A54C6">
              <w:rPr>
                <w:b/>
                <w:sz w:val="18"/>
                <w:szCs w:val="18"/>
              </w:rPr>
              <w:t xml:space="preserve"> </w:t>
            </w:r>
          </w:p>
        </w:tc>
        <w:tc>
          <w:tcPr>
            <w:tcW w:w="2910" w:type="dxa"/>
            <w:vMerge w:val="restart"/>
            <w:tcBorders>
              <w:top w:val="single" w:sz="2" w:space="0" w:color="000001"/>
              <w:left w:val="single" w:sz="2" w:space="0" w:color="000001"/>
            </w:tcBorders>
            <w:shd w:val="clear" w:color="auto" w:fill="auto"/>
            <w:tcMar>
              <w:left w:w="51" w:type="dxa"/>
            </w:tcMar>
            <w:vAlign w:val="center"/>
          </w:tcPr>
          <w:p w14:paraId="697FEF06" w14:textId="77777777" w:rsidR="00DA02D8" w:rsidRDefault="00DA02D8" w:rsidP="00DA02D8">
            <w:pPr>
              <w:tabs>
                <w:tab w:val="left" w:pos="220"/>
                <w:tab w:val="left" w:pos="720"/>
              </w:tabs>
              <w:autoSpaceDE w:val="0"/>
              <w:autoSpaceDN w:val="0"/>
              <w:adjustRightInd w:val="0"/>
              <w:spacing w:after="240"/>
              <w:rPr>
                <w:sz w:val="18"/>
                <w:szCs w:val="18"/>
              </w:rPr>
            </w:pPr>
            <w:r w:rsidRPr="00E36B9A">
              <w:rPr>
                <w:sz w:val="18"/>
                <w:szCs w:val="18"/>
              </w:rPr>
              <w:t xml:space="preserve">1 </w:t>
            </w:r>
            <w:proofErr w:type="spellStart"/>
            <w:r w:rsidRPr="00E36B9A">
              <w:rPr>
                <w:sz w:val="18"/>
                <w:szCs w:val="18"/>
              </w:rPr>
              <w:t>1</w:t>
            </w:r>
            <w:proofErr w:type="spellEnd"/>
            <w:r w:rsidRPr="00E36B9A">
              <w:rPr>
                <w:sz w:val="18"/>
                <w:szCs w:val="18"/>
              </w:rPr>
              <w:t xml:space="preserve">. Tools are in development to capture baseline data </w:t>
            </w:r>
            <w:r>
              <w:rPr>
                <w:sz w:val="18"/>
                <w:szCs w:val="18"/>
              </w:rPr>
              <w:t>in a gender sensi</w:t>
            </w:r>
            <w:r w:rsidRPr="00E36B9A">
              <w:rPr>
                <w:sz w:val="18"/>
                <w:szCs w:val="18"/>
              </w:rPr>
              <w:t>tive manner</w:t>
            </w:r>
          </w:p>
          <w:p w14:paraId="6C019B09" w14:textId="77777777" w:rsidR="00DA02D8" w:rsidRDefault="00DA02D8" w:rsidP="00DA02D8">
            <w:pPr>
              <w:tabs>
                <w:tab w:val="left" w:pos="220"/>
                <w:tab w:val="left" w:pos="720"/>
              </w:tabs>
              <w:autoSpaceDE w:val="0"/>
              <w:autoSpaceDN w:val="0"/>
              <w:adjustRightInd w:val="0"/>
              <w:spacing w:after="240"/>
              <w:rPr>
                <w:sz w:val="18"/>
                <w:szCs w:val="18"/>
              </w:rPr>
            </w:pPr>
          </w:p>
          <w:p w14:paraId="14A58AA7" w14:textId="77777777" w:rsidR="00DA02D8" w:rsidRPr="00E36B9A" w:rsidRDefault="00DA02D8" w:rsidP="00DA02D8">
            <w:pPr>
              <w:tabs>
                <w:tab w:val="left" w:pos="220"/>
                <w:tab w:val="left" w:pos="720"/>
              </w:tabs>
              <w:autoSpaceDE w:val="0"/>
              <w:autoSpaceDN w:val="0"/>
              <w:adjustRightInd w:val="0"/>
              <w:spacing w:after="240"/>
              <w:rPr>
                <w:sz w:val="18"/>
                <w:szCs w:val="18"/>
              </w:rPr>
            </w:pPr>
          </w:p>
          <w:p w14:paraId="78DB9320" w14:textId="77777777" w:rsidR="009A54C6" w:rsidRPr="00E36B9A" w:rsidRDefault="009A54C6" w:rsidP="00DA02D8">
            <w:pPr>
              <w:tabs>
                <w:tab w:val="left" w:pos="220"/>
                <w:tab w:val="left" w:pos="720"/>
              </w:tabs>
              <w:autoSpaceDE w:val="0"/>
              <w:autoSpaceDN w:val="0"/>
              <w:adjustRightInd w:val="0"/>
              <w:spacing w:after="240"/>
              <w:jc w:val="both"/>
              <w:rPr>
                <w:sz w:val="18"/>
                <w:szCs w:val="18"/>
              </w:rPr>
            </w:pPr>
          </w:p>
        </w:tc>
        <w:tc>
          <w:tcPr>
            <w:tcW w:w="4317" w:type="dxa"/>
            <w:tcBorders>
              <w:top w:val="single" w:sz="2" w:space="0" w:color="000001"/>
              <w:left w:val="single" w:sz="2" w:space="0" w:color="000001"/>
              <w:bottom w:val="single" w:sz="2" w:space="0" w:color="000001"/>
            </w:tcBorders>
            <w:shd w:val="clear" w:color="auto" w:fill="auto"/>
            <w:tcMar>
              <w:left w:w="51" w:type="dxa"/>
            </w:tcMar>
            <w:vAlign w:val="center"/>
          </w:tcPr>
          <w:p w14:paraId="3419D154" w14:textId="77777777" w:rsidR="009A54C6" w:rsidRDefault="009A54C6" w:rsidP="009A54C6">
            <w:pPr>
              <w:pStyle w:val="TableContents"/>
              <w:numPr>
                <w:ilvl w:val="2"/>
                <w:numId w:val="5"/>
              </w:numPr>
              <w:ind w:left="429" w:hanging="427"/>
              <w:rPr>
                <w:sz w:val="18"/>
                <w:szCs w:val="18"/>
              </w:rPr>
            </w:pPr>
            <w:r w:rsidRPr="0084776C">
              <w:rPr>
                <w:sz w:val="18"/>
                <w:szCs w:val="18"/>
              </w:rPr>
              <w:t xml:space="preserve">Develop </w:t>
            </w:r>
            <w:r w:rsidRPr="00E80EA4">
              <w:rPr>
                <w:sz w:val="18"/>
                <w:szCs w:val="18"/>
              </w:rPr>
              <w:t>surveys</w:t>
            </w:r>
            <w:r w:rsidRPr="004E069F">
              <w:rPr>
                <w:sz w:val="18"/>
                <w:szCs w:val="18"/>
              </w:rPr>
              <w:t xml:space="preserve"> </w:t>
            </w:r>
            <w:r w:rsidRPr="0084776C">
              <w:rPr>
                <w:sz w:val="18"/>
                <w:szCs w:val="18"/>
              </w:rPr>
              <w:t>th</w:t>
            </w:r>
            <w:r>
              <w:rPr>
                <w:sz w:val="18"/>
                <w:szCs w:val="18"/>
              </w:rPr>
              <w:t>at will allow for collection of gender disaggregated data</w:t>
            </w:r>
          </w:p>
          <w:p w14:paraId="1AA81A41" w14:textId="77777777" w:rsidR="009A54C6" w:rsidRPr="0084776C" w:rsidRDefault="009A54C6" w:rsidP="009A54C6">
            <w:pPr>
              <w:pStyle w:val="TableContents"/>
              <w:rPr>
                <w:sz w:val="18"/>
                <w:szCs w:val="18"/>
              </w:rPr>
            </w:pPr>
          </w:p>
        </w:tc>
        <w:tc>
          <w:tcPr>
            <w:tcW w:w="2012" w:type="dxa"/>
            <w:vMerge w:val="restart"/>
            <w:tcBorders>
              <w:top w:val="single" w:sz="2" w:space="0" w:color="000001"/>
              <w:left w:val="single" w:sz="2" w:space="0" w:color="000001"/>
            </w:tcBorders>
            <w:shd w:val="clear" w:color="auto" w:fill="auto"/>
            <w:tcMar>
              <w:left w:w="51" w:type="dxa"/>
            </w:tcMar>
            <w:vAlign w:val="center"/>
          </w:tcPr>
          <w:p w14:paraId="7B3903E6" w14:textId="77777777" w:rsidR="009A54C6" w:rsidRDefault="00DA02D8" w:rsidP="009A54C6">
            <w:pPr>
              <w:pStyle w:val="TableContents"/>
              <w:jc w:val="both"/>
              <w:rPr>
                <w:sz w:val="18"/>
                <w:szCs w:val="18"/>
              </w:rPr>
            </w:pPr>
            <w:r>
              <w:rPr>
                <w:sz w:val="18"/>
                <w:szCs w:val="18"/>
              </w:rPr>
              <w:t>September</w:t>
            </w:r>
            <w:r w:rsidRPr="0084776C">
              <w:rPr>
                <w:sz w:val="18"/>
                <w:szCs w:val="18"/>
              </w:rPr>
              <w:t xml:space="preserve"> 2016</w:t>
            </w:r>
          </w:p>
          <w:p w14:paraId="55577B93" w14:textId="77777777" w:rsidR="00DA02D8" w:rsidRDefault="00DA02D8" w:rsidP="009A54C6">
            <w:pPr>
              <w:pStyle w:val="TableContents"/>
              <w:jc w:val="both"/>
              <w:rPr>
                <w:sz w:val="18"/>
                <w:szCs w:val="18"/>
              </w:rPr>
            </w:pPr>
          </w:p>
          <w:p w14:paraId="182C9B55" w14:textId="77777777" w:rsidR="00DA02D8" w:rsidRDefault="00DA02D8" w:rsidP="009A54C6">
            <w:pPr>
              <w:pStyle w:val="TableContents"/>
              <w:jc w:val="both"/>
              <w:rPr>
                <w:sz w:val="18"/>
                <w:szCs w:val="18"/>
              </w:rPr>
            </w:pPr>
          </w:p>
          <w:p w14:paraId="024FD90F" w14:textId="77777777" w:rsidR="00DA02D8" w:rsidRDefault="00DA02D8" w:rsidP="009A54C6">
            <w:pPr>
              <w:pStyle w:val="TableContents"/>
              <w:jc w:val="both"/>
              <w:rPr>
                <w:sz w:val="18"/>
                <w:szCs w:val="18"/>
              </w:rPr>
            </w:pPr>
          </w:p>
          <w:p w14:paraId="4C46CB5F" w14:textId="77777777" w:rsidR="00DA02D8" w:rsidRDefault="00DA02D8" w:rsidP="009A54C6">
            <w:pPr>
              <w:pStyle w:val="TableContents"/>
              <w:jc w:val="both"/>
              <w:rPr>
                <w:sz w:val="18"/>
                <w:szCs w:val="18"/>
              </w:rPr>
            </w:pPr>
          </w:p>
          <w:p w14:paraId="52F4DAD2" w14:textId="77777777" w:rsidR="00DA02D8" w:rsidRDefault="00DA02D8" w:rsidP="009A54C6">
            <w:pPr>
              <w:pStyle w:val="TableContents"/>
              <w:jc w:val="both"/>
              <w:rPr>
                <w:sz w:val="18"/>
                <w:szCs w:val="18"/>
              </w:rPr>
            </w:pPr>
          </w:p>
          <w:p w14:paraId="167B9CEF" w14:textId="77777777" w:rsidR="00DA02D8" w:rsidRDefault="00DA02D8" w:rsidP="009A54C6">
            <w:pPr>
              <w:pStyle w:val="TableContents"/>
              <w:jc w:val="both"/>
              <w:rPr>
                <w:sz w:val="18"/>
                <w:szCs w:val="18"/>
              </w:rPr>
            </w:pPr>
          </w:p>
          <w:p w14:paraId="1F402CDB" w14:textId="77777777" w:rsidR="00DA02D8" w:rsidRDefault="00DA02D8" w:rsidP="009A54C6">
            <w:pPr>
              <w:pStyle w:val="TableContents"/>
              <w:jc w:val="both"/>
              <w:rPr>
                <w:sz w:val="18"/>
                <w:szCs w:val="18"/>
              </w:rPr>
            </w:pPr>
          </w:p>
          <w:p w14:paraId="7CAF4B5B" w14:textId="77777777" w:rsidR="00DA02D8" w:rsidRDefault="00DA02D8" w:rsidP="009A54C6">
            <w:pPr>
              <w:pStyle w:val="TableContents"/>
              <w:jc w:val="both"/>
              <w:rPr>
                <w:sz w:val="18"/>
                <w:szCs w:val="18"/>
              </w:rPr>
            </w:pPr>
          </w:p>
          <w:p w14:paraId="3E03EB2F" w14:textId="7E64C726" w:rsidR="00DA02D8" w:rsidRDefault="00DA02D8" w:rsidP="009A54C6">
            <w:pPr>
              <w:pStyle w:val="TableContents"/>
              <w:jc w:val="both"/>
              <w:rPr>
                <w:sz w:val="18"/>
                <w:szCs w:val="18"/>
              </w:rPr>
            </w:pPr>
          </w:p>
        </w:tc>
        <w:tc>
          <w:tcPr>
            <w:tcW w:w="3859" w:type="dxa"/>
            <w:vMerge w:val="restart"/>
            <w:tcBorders>
              <w:top w:val="single" w:sz="2" w:space="0" w:color="000001"/>
              <w:left w:val="single" w:sz="2" w:space="0" w:color="000001"/>
              <w:right w:val="single" w:sz="2" w:space="0" w:color="000001"/>
            </w:tcBorders>
            <w:shd w:val="clear" w:color="auto" w:fill="auto"/>
            <w:tcMar>
              <w:left w:w="51" w:type="dxa"/>
            </w:tcMar>
            <w:vAlign w:val="center"/>
          </w:tcPr>
          <w:p w14:paraId="2C567315" w14:textId="77777777" w:rsidR="009A54C6" w:rsidRPr="000A5119" w:rsidRDefault="009A54C6" w:rsidP="000A5119">
            <w:pPr>
              <w:pStyle w:val="TableContents"/>
              <w:numPr>
                <w:ilvl w:val="0"/>
                <w:numId w:val="2"/>
              </w:numPr>
              <w:rPr>
                <w:sz w:val="18"/>
                <w:szCs w:val="18"/>
              </w:rPr>
            </w:pPr>
            <w:r w:rsidRPr="0084776C">
              <w:rPr>
                <w:sz w:val="18"/>
                <w:szCs w:val="18"/>
              </w:rPr>
              <w:t>In</w:t>
            </w:r>
            <w:r w:rsidRPr="000A5119">
              <w:rPr>
                <w:sz w:val="18"/>
                <w:szCs w:val="18"/>
              </w:rPr>
              <w:t>tra-household survey</w:t>
            </w:r>
          </w:p>
          <w:p w14:paraId="0B89C400" w14:textId="77777777" w:rsidR="009A54C6" w:rsidRDefault="009A54C6" w:rsidP="004E069F">
            <w:pPr>
              <w:pStyle w:val="TableContents"/>
              <w:numPr>
                <w:ilvl w:val="0"/>
                <w:numId w:val="2"/>
              </w:numPr>
              <w:rPr>
                <w:sz w:val="18"/>
                <w:szCs w:val="18"/>
              </w:rPr>
            </w:pPr>
            <w:r w:rsidRPr="004E069F">
              <w:rPr>
                <w:sz w:val="18"/>
                <w:szCs w:val="18"/>
              </w:rPr>
              <w:t>Focus group discussions</w:t>
            </w:r>
          </w:p>
          <w:p w14:paraId="34315BD5" w14:textId="77777777" w:rsidR="00DA02D8" w:rsidRDefault="00DA02D8" w:rsidP="00DA02D8">
            <w:pPr>
              <w:pStyle w:val="TableContents"/>
              <w:rPr>
                <w:sz w:val="18"/>
                <w:szCs w:val="18"/>
              </w:rPr>
            </w:pPr>
          </w:p>
          <w:p w14:paraId="649CD68A" w14:textId="77777777" w:rsidR="00DA02D8" w:rsidRDefault="00DA02D8" w:rsidP="00DA02D8">
            <w:pPr>
              <w:pStyle w:val="TableContents"/>
              <w:rPr>
                <w:sz w:val="18"/>
                <w:szCs w:val="18"/>
              </w:rPr>
            </w:pPr>
          </w:p>
          <w:p w14:paraId="6FDF5601" w14:textId="77777777" w:rsidR="00DA02D8" w:rsidRDefault="00DA02D8" w:rsidP="00DA02D8">
            <w:pPr>
              <w:pStyle w:val="TableContents"/>
              <w:rPr>
                <w:sz w:val="18"/>
                <w:szCs w:val="18"/>
              </w:rPr>
            </w:pPr>
          </w:p>
          <w:p w14:paraId="65F35773" w14:textId="77777777" w:rsidR="00DA02D8" w:rsidRDefault="00DA02D8" w:rsidP="00DA02D8">
            <w:pPr>
              <w:pStyle w:val="TableContents"/>
              <w:rPr>
                <w:sz w:val="18"/>
                <w:szCs w:val="18"/>
              </w:rPr>
            </w:pPr>
          </w:p>
          <w:p w14:paraId="436ED6FB" w14:textId="77777777" w:rsidR="00DA02D8" w:rsidRDefault="00DA02D8" w:rsidP="00DA02D8">
            <w:pPr>
              <w:pStyle w:val="TableContents"/>
              <w:rPr>
                <w:sz w:val="18"/>
                <w:szCs w:val="18"/>
              </w:rPr>
            </w:pPr>
          </w:p>
          <w:p w14:paraId="6BEAEBD9" w14:textId="77777777" w:rsidR="00DA02D8" w:rsidRDefault="00DA02D8" w:rsidP="00DA02D8">
            <w:pPr>
              <w:pStyle w:val="TableContents"/>
              <w:rPr>
                <w:sz w:val="18"/>
                <w:szCs w:val="18"/>
              </w:rPr>
            </w:pPr>
          </w:p>
          <w:p w14:paraId="3F30DF89" w14:textId="77777777" w:rsidR="009A54C6" w:rsidRDefault="009A54C6" w:rsidP="00E80EA4">
            <w:pPr>
              <w:pStyle w:val="TableContents"/>
              <w:ind w:left="360"/>
              <w:rPr>
                <w:sz w:val="18"/>
                <w:szCs w:val="18"/>
              </w:rPr>
            </w:pPr>
          </w:p>
          <w:p w14:paraId="37622D10" w14:textId="77777777" w:rsidR="009A54C6" w:rsidRPr="0084776C" w:rsidRDefault="009A54C6" w:rsidP="001C6BED">
            <w:pPr>
              <w:pStyle w:val="TableContents"/>
              <w:ind w:left="360"/>
              <w:rPr>
                <w:sz w:val="18"/>
                <w:szCs w:val="18"/>
              </w:rPr>
            </w:pPr>
          </w:p>
        </w:tc>
      </w:tr>
      <w:tr w:rsidR="009A54C6" w:rsidRPr="0084776C" w14:paraId="6A52EB79" w14:textId="77777777" w:rsidTr="00DA02D8">
        <w:trPr>
          <w:trHeight w:val="1485"/>
        </w:trPr>
        <w:tc>
          <w:tcPr>
            <w:tcW w:w="1578" w:type="dxa"/>
            <w:vMerge/>
            <w:tcBorders>
              <w:left w:val="single" w:sz="2" w:space="0" w:color="000001"/>
            </w:tcBorders>
            <w:shd w:val="clear" w:color="auto" w:fill="auto"/>
            <w:tcMar>
              <w:left w:w="51" w:type="dxa"/>
            </w:tcMar>
            <w:vAlign w:val="center"/>
          </w:tcPr>
          <w:p w14:paraId="3FA9657C" w14:textId="7406E670" w:rsidR="009A54C6" w:rsidRPr="0084776C" w:rsidRDefault="009A54C6" w:rsidP="001C6BED">
            <w:pPr>
              <w:pStyle w:val="TableContents"/>
              <w:rPr>
                <w:sz w:val="18"/>
                <w:szCs w:val="18"/>
              </w:rPr>
            </w:pPr>
          </w:p>
        </w:tc>
        <w:tc>
          <w:tcPr>
            <w:tcW w:w="2910" w:type="dxa"/>
            <w:vMerge/>
            <w:tcBorders>
              <w:left w:val="single" w:sz="2" w:space="0" w:color="000001"/>
              <w:bottom w:val="single" w:sz="2" w:space="0" w:color="000001"/>
            </w:tcBorders>
            <w:shd w:val="clear" w:color="auto" w:fill="auto"/>
            <w:tcMar>
              <w:left w:w="51" w:type="dxa"/>
            </w:tcMar>
            <w:vAlign w:val="center"/>
          </w:tcPr>
          <w:p w14:paraId="080047D0" w14:textId="77777777" w:rsidR="009A54C6" w:rsidRPr="0084776C" w:rsidRDefault="009A54C6" w:rsidP="009A54C6">
            <w:pPr>
              <w:pStyle w:val="TableContents"/>
              <w:rPr>
                <w:b/>
                <w:bCs/>
                <w:sz w:val="18"/>
                <w:szCs w:val="18"/>
              </w:rPr>
            </w:pPr>
          </w:p>
        </w:tc>
        <w:tc>
          <w:tcPr>
            <w:tcW w:w="4317" w:type="dxa"/>
            <w:tcBorders>
              <w:top w:val="single" w:sz="2" w:space="0" w:color="000001"/>
              <w:left w:val="single" w:sz="2" w:space="0" w:color="000001"/>
              <w:bottom w:val="single" w:sz="2" w:space="0" w:color="000001"/>
            </w:tcBorders>
            <w:shd w:val="clear" w:color="auto" w:fill="auto"/>
            <w:tcMar>
              <w:left w:w="51" w:type="dxa"/>
            </w:tcMar>
            <w:vAlign w:val="center"/>
          </w:tcPr>
          <w:p w14:paraId="74AA6777" w14:textId="77777777" w:rsidR="009A54C6" w:rsidRPr="0084776C" w:rsidRDefault="009A54C6" w:rsidP="004020F1">
            <w:pPr>
              <w:pStyle w:val="TableContents"/>
              <w:rPr>
                <w:sz w:val="18"/>
                <w:szCs w:val="18"/>
              </w:rPr>
            </w:pPr>
          </w:p>
          <w:p w14:paraId="47DC0A0E" w14:textId="4E3167D5" w:rsidR="009A54C6" w:rsidRPr="0084776C" w:rsidRDefault="009A54C6" w:rsidP="00E80EA4">
            <w:pPr>
              <w:pStyle w:val="TableContents"/>
              <w:ind w:left="429" w:hanging="426"/>
              <w:rPr>
                <w:sz w:val="18"/>
                <w:szCs w:val="18"/>
              </w:rPr>
            </w:pPr>
            <w:r>
              <w:rPr>
                <w:sz w:val="18"/>
                <w:szCs w:val="18"/>
              </w:rPr>
              <w:t>1.1.2 Develop</w:t>
            </w:r>
            <w:r w:rsidRPr="0084776C">
              <w:rPr>
                <w:sz w:val="18"/>
                <w:szCs w:val="18"/>
              </w:rPr>
              <w:t xml:space="preserve"> </w:t>
            </w:r>
            <w:r w:rsidRPr="00E80EA4">
              <w:rPr>
                <w:sz w:val="18"/>
                <w:szCs w:val="18"/>
              </w:rPr>
              <w:t>focus group discussions (FGDs)</w:t>
            </w:r>
            <w:r>
              <w:rPr>
                <w:b/>
                <w:sz w:val="18"/>
                <w:szCs w:val="18"/>
              </w:rPr>
              <w:t xml:space="preserve"> </w:t>
            </w:r>
            <w:r>
              <w:rPr>
                <w:sz w:val="18"/>
                <w:szCs w:val="18"/>
              </w:rPr>
              <w:t xml:space="preserve">that will have exclusively men, or women and men and women combined. </w:t>
            </w:r>
            <w:r w:rsidRPr="0084776C">
              <w:rPr>
                <w:sz w:val="18"/>
                <w:szCs w:val="18"/>
              </w:rPr>
              <w:t xml:space="preserve"> </w:t>
            </w:r>
            <w:r>
              <w:rPr>
                <w:sz w:val="18"/>
                <w:szCs w:val="18"/>
              </w:rPr>
              <w:t xml:space="preserve">Youth (under 35) will be participating in the FGDs together with older people. </w:t>
            </w:r>
          </w:p>
        </w:tc>
        <w:tc>
          <w:tcPr>
            <w:tcW w:w="2012" w:type="dxa"/>
            <w:vMerge/>
            <w:tcBorders>
              <w:left w:val="single" w:sz="2" w:space="0" w:color="000001"/>
              <w:bottom w:val="single" w:sz="2" w:space="0" w:color="000001"/>
            </w:tcBorders>
            <w:shd w:val="clear" w:color="auto" w:fill="auto"/>
            <w:tcMar>
              <w:left w:w="51" w:type="dxa"/>
            </w:tcMar>
            <w:vAlign w:val="center"/>
          </w:tcPr>
          <w:p w14:paraId="5F7AA57C" w14:textId="7C7219D2" w:rsidR="009A54C6" w:rsidRPr="0084776C" w:rsidRDefault="009A54C6" w:rsidP="009A54C6">
            <w:pPr>
              <w:pStyle w:val="TableContents"/>
              <w:jc w:val="both"/>
              <w:rPr>
                <w:b/>
                <w:bCs/>
                <w:sz w:val="18"/>
                <w:szCs w:val="18"/>
              </w:rPr>
            </w:pPr>
          </w:p>
        </w:tc>
        <w:tc>
          <w:tcPr>
            <w:tcW w:w="3859" w:type="dxa"/>
            <w:vMerge/>
            <w:tcBorders>
              <w:left w:val="single" w:sz="2" w:space="0" w:color="000001"/>
              <w:bottom w:val="single" w:sz="2" w:space="0" w:color="000001"/>
              <w:right w:val="single" w:sz="2" w:space="0" w:color="000001"/>
            </w:tcBorders>
            <w:shd w:val="clear" w:color="auto" w:fill="auto"/>
            <w:tcMar>
              <w:left w:w="51" w:type="dxa"/>
            </w:tcMar>
            <w:vAlign w:val="center"/>
          </w:tcPr>
          <w:p w14:paraId="2C238931" w14:textId="17CB383C" w:rsidR="009A54C6" w:rsidRPr="004E069F" w:rsidRDefault="009A54C6" w:rsidP="001C6BED">
            <w:pPr>
              <w:pStyle w:val="TableContents"/>
              <w:ind w:left="360"/>
              <w:rPr>
                <w:sz w:val="18"/>
                <w:szCs w:val="18"/>
              </w:rPr>
            </w:pPr>
          </w:p>
        </w:tc>
      </w:tr>
      <w:tr w:rsidR="009A54C6" w:rsidRPr="0084776C" w14:paraId="26728753" w14:textId="77777777" w:rsidTr="009A54C6">
        <w:trPr>
          <w:trHeight w:hRule="exact" w:val="1649"/>
        </w:trPr>
        <w:tc>
          <w:tcPr>
            <w:tcW w:w="1578" w:type="dxa"/>
            <w:vMerge/>
            <w:tcBorders>
              <w:left w:val="single" w:sz="2" w:space="0" w:color="000001"/>
              <w:bottom w:val="single" w:sz="2" w:space="0" w:color="000001"/>
            </w:tcBorders>
            <w:shd w:val="clear" w:color="auto" w:fill="auto"/>
            <w:tcMar>
              <w:left w:w="51" w:type="dxa"/>
            </w:tcMar>
          </w:tcPr>
          <w:p w14:paraId="0A207686" w14:textId="77777777" w:rsidR="009A54C6" w:rsidRPr="0084776C" w:rsidRDefault="009A54C6">
            <w:pPr>
              <w:pStyle w:val="TableContents"/>
              <w:rPr>
                <w:sz w:val="18"/>
                <w:szCs w:val="18"/>
              </w:rPr>
            </w:pPr>
          </w:p>
        </w:tc>
        <w:tc>
          <w:tcPr>
            <w:tcW w:w="2910" w:type="dxa"/>
            <w:tcBorders>
              <w:top w:val="single" w:sz="2" w:space="0" w:color="000001"/>
              <w:left w:val="single" w:sz="2" w:space="0" w:color="000001"/>
              <w:bottom w:val="single" w:sz="2" w:space="0" w:color="000001"/>
            </w:tcBorders>
            <w:shd w:val="clear" w:color="auto" w:fill="auto"/>
            <w:tcMar>
              <w:left w:w="51" w:type="dxa"/>
            </w:tcMar>
          </w:tcPr>
          <w:p w14:paraId="1A6FA5EF" w14:textId="38FFC1E6" w:rsidR="009A54C6" w:rsidRPr="00E80EA4" w:rsidRDefault="009A54C6" w:rsidP="00BD7AE0">
            <w:pPr>
              <w:pStyle w:val="TableContents"/>
              <w:numPr>
                <w:ilvl w:val="1"/>
                <w:numId w:val="5"/>
              </w:numPr>
              <w:rPr>
                <w:sz w:val="18"/>
                <w:szCs w:val="18"/>
              </w:rPr>
            </w:pPr>
            <w:r w:rsidRPr="0084776C">
              <w:rPr>
                <w:sz w:val="18"/>
                <w:szCs w:val="18"/>
              </w:rPr>
              <w:t xml:space="preserve">Tools </w:t>
            </w:r>
            <w:r>
              <w:rPr>
                <w:sz w:val="18"/>
                <w:szCs w:val="18"/>
              </w:rPr>
              <w:t>will be developed in a gender sensi</w:t>
            </w:r>
            <w:r w:rsidRPr="00E36B9A">
              <w:rPr>
                <w:sz w:val="18"/>
                <w:szCs w:val="18"/>
              </w:rPr>
              <w:t>tive manner</w:t>
            </w:r>
            <w:r>
              <w:rPr>
                <w:sz w:val="18"/>
                <w:szCs w:val="18"/>
              </w:rPr>
              <w:t xml:space="preserve"> to measure change in awareness and adoption for farmers as result of the implementation of the scale-up campaigns </w:t>
            </w:r>
          </w:p>
        </w:tc>
        <w:tc>
          <w:tcPr>
            <w:tcW w:w="4317" w:type="dxa"/>
            <w:tcBorders>
              <w:top w:val="single" w:sz="2" w:space="0" w:color="000001"/>
              <w:left w:val="single" w:sz="2" w:space="0" w:color="000001"/>
              <w:bottom w:val="single" w:sz="2" w:space="0" w:color="000001"/>
            </w:tcBorders>
            <w:shd w:val="clear" w:color="auto" w:fill="auto"/>
            <w:tcMar>
              <w:left w:w="51" w:type="dxa"/>
            </w:tcMar>
          </w:tcPr>
          <w:p w14:paraId="483D7E97" w14:textId="11DA6FA2" w:rsidR="009A54C6" w:rsidRDefault="009A54C6" w:rsidP="009A54C6">
            <w:pPr>
              <w:pStyle w:val="TableContents"/>
              <w:ind w:left="420" w:hanging="426"/>
              <w:rPr>
                <w:sz w:val="18"/>
                <w:szCs w:val="18"/>
              </w:rPr>
            </w:pPr>
            <w:proofErr w:type="gramStart"/>
            <w:r w:rsidRPr="00E80EA4">
              <w:rPr>
                <w:sz w:val="18"/>
                <w:szCs w:val="18"/>
              </w:rPr>
              <w:t>1.2.1  Develop</w:t>
            </w:r>
            <w:proofErr w:type="gramEnd"/>
            <w:r w:rsidRPr="00E80EA4">
              <w:rPr>
                <w:sz w:val="18"/>
                <w:szCs w:val="18"/>
              </w:rPr>
              <w:t xml:space="preserve"> content </w:t>
            </w:r>
            <w:r>
              <w:rPr>
                <w:sz w:val="18"/>
                <w:szCs w:val="18"/>
              </w:rPr>
              <w:t>for Computer aided telephone interviews (CATI)</w:t>
            </w:r>
          </w:p>
        </w:tc>
        <w:tc>
          <w:tcPr>
            <w:tcW w:w="2012" w:type="dxa"/>
            <w:tcBorders>
              <w:top w:val="single" w:sz="2" w:space="0" w:color="000001"/>
              <w:left w:val="single" w:sz="2" w:space="0" w:color="000001"/>
              <w:bottom w:val="single" w:sz="2" w:space="0" w:color="000001"/>
            </w:tcBorders>
            <w:shd w:val="clear" w:color="auto" w:fill="auto"/>
            <w:tcMar>
              <w:left w:w="51" w:type="dxa"/>
            </w:tcMar>
          </w:tcPr>
          <w:p w14:paraId="7A2E4C9B" w14:textId="4B6E5C55" w:rsidR="009A54C6" w:rsidRPr="0084776C" w:rsidRDefault="009A54C6" w:rsidP="009A54C6">
            <w:pPr>
              <w:pStyle w:val="TableContents"/>
              <w:rPr>
                <w:sz w:val="18"/>
                <w:szCs w:val="18"/>
              </w:rPr>
            </w:pPr>
            <w:r>
              <w:rPr>
                <w:sz w:val="18"/>
                <w:szCs w:val="18"/>
              </w:rPr>
              <w:t>Mid 2017</w:t>
            </w:r>
          </w:p>
        </w:tc>
        <w:tc>
          <w:tcPr>
            <w:tcW w:w="385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D3DC9C6" w14:textId="41158992" w:rsidR="009A54C6" w:rsidRPr="0084776C" w:rsidRDefault="009A54C6" w:rsidP="00E80EA4">
            <w:pPr>
              <w:pStyle w:val="TableContents"/>
              <w:numPr>
                <w:ilvl w:val="0"/>
                <w:numId w:val="14"/>
              </w:numPr>
              <w:rPr>
                <w:sz w:val="18"/>
                <w:szCs w:val="18"/>
              </w:rPr>
            </w:pPr>
            <w:r>
              <w:rPr>
                <w:sz w:val="18"/>
                <w:szCs w:val="18"/>
              </w:rPr>
              <w:t xml:space="preserve">Telephone interviews </w:t>
            </w:r>
          </w:p>
        </w:tc>
      </w:tr>
    </w:tbl>
    <w:p w14:paraId="27855A02" w14:textId="77777777" w:rsidR="009A54C6" w:rsidRDefault="009A54C6">
      <w:pPr>
        <w:pStyle w:val="TableContents"/>
        <w:rPr>
          <w:sz w:val="18"/>
          <w:szCs w:val="18"/>
        </w:rPr>
        <w:sectPr w:rsidR="009A54C6">
          <w:pgSz w:w="16838" w:h="11906" w:orient="landscape"/>
          <w:pgMar w:top="1134" w:right="1134" w:bottom="1134" w:left="1134" w:header="0" w:footer="0" w:gutter="0"/>
          <w:cols w:space="720"/>
          <w:formProt w:val="0"/>
          <w:docGrid w:linePitch="326" w:charSpace="-6145"/>
        </w:sectPr>
      </w:pPr>
    </w:p>
    <w:tbl>
      <w:tblPr>
        <w:tblW w:w="5000" w:type="pct"/>
        <w:tblInd w:w="54"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1578"/>
        <w:gridCol w:w="2910"/>
        <w:gridCol w:w="4317"/>
        <w:gridCol w:w="2012"/>
        <w:gridCol w:w="3859"/>
      </w:tblGrid>
      <w:tr w:rsidR="00A45191" w:rsidRPr="0084776C" w14:paraId="467E6DE9" w14:textId="77777777" w:rsidTr="009A54C6">
        <w:trPr>
          <w:trHeight w:hRule="exact" w:val="1194"/>
        </w:trPr>
        <w:tc>
          <w:tcPr>
            <w:tcW w:w="1578" w:type="dxa"/>
            <w:vMerge w:val="restart"/>
            <w:tcBorders>
              <w:top w:val="single" w:sz="2" w:space="0" w:color="000001"/>
              <w:left w:val="single" w:sz="2" w:space="0" w:color="000001"/>
            </w:tcBorders>
            <w:shd w:val="clear" w:color="auto" w:fill="auto"/>
            <w:tcMar>
              <w:left w:w="51" w:type="dxa"/>
            </w:tcMar>
          </w:tcPr>
          <w:p w14:paraId="12BE3F31" w14:textId="152AD6F6" w:rsidR="00A45191" w:rsidRPr="009A54C6" w:rsidRDefault="00A45191">
            <w:pPr>
              <w:pStyle w:val="TableContents"/>
              <w:rPr>
                <w:b/>
                <w:sz w:val="18"/>
                <w:szCs w:val="18"/>
              </w:rPr>
            </w:pPr>
            <w:r w:rsidRPr="0084776C">
              <w:rPr>
                <w:sz w:val="18"/>
                <w:szCs w:val="18"/>
              </w:rPr>
              <w:lastRenderedPageBreak/>
              <w:t xml:space="preserve">2 </w:t>
            </w:r>
            <w:r w:rsidRPr="009A54C6">
              <w:rPr>
                <w:b/>
                <w:sz w:val="18"/>
                <w:szCs w:val="18"/>
              </w:rPr>
              <w:t xml:space="preserve">Integrating gender in project design </w:t>
            </w:r>
          </w:p>
          <w:p w14:paraId="177C7020" w14:textId="6D07C17B" w:rsidR="00A45191" w:rsidRPr="009A54C6" w:rsidRDefault="00A45191" w:rsidP="00BB374E">
            <w:pPr>
              <w:pStyle w:val="TableContents"/>
              <w:rPr>
                <w:sz w:val="18"/>
                <w:szCs w:val="18"/>
              </w:rPr>
            </w:pPr>
            <w:r w:rsidRPr="009A54C6">
              <w:rPr>
                <w:sz w:val="18"/>
                <w:szCs w:val="18"/>
              </w:rPr>
              <w:t xml:space="preserve">Note: Gender is embedded into the design of the project – specific outputs are being targeted at different members of farming families </w:t>
            </w:r>
          </w:p>
        </w:tc>
        <w:tc>
          <w:tcPr>
            <w:tcW w:w="2910" w:type="dxa"/>
            <w:tcBorders>
              <w:top w:val="single" w:sz="2" w:space="0" w:color="000001"/>
              <w:left w:val="single" w:sz="2" w:space="0" w:color="000001"/>
              <w:bottom w:val="single" w:sz="4" w:space="0" w:color="auto"/>
            </w:tcBorders>
            <w:shd w:val="clear" w:color="auto" w:fill="auto"/>
            <w:tcMar>
              <w:left w:w="51" w:type="dxa"/>
            </w:tcMar>
          </w:tcPr>
          <w:p w14:paraId="453B394D" w14:textId="724B6B32" w:rsidR="00A45191" w:rsidRPr="00A45191" w:rsidRDefault="00CF11F8" w:rsidP="009A54C6">
            <w:pPr>
              <w:pStyle w:val="TableContents"/>
              <w:ind w:left="353" w:hanging="284"/>
              <w:rPr>
                <w:sz w:val="18"/>
                <w:szCs w:val="18"/>
              </w:rPr>
            </w:pPr>
            <w:r>
              <w:rPr>
                <w:sz w:val="18"/>
                <w:szCs w:val="18"/>
              </w:rPr>
              <w:t xml:space="preserve">2.1 </w:t>
            </w:r>
            <w:r w:rsidR="006D048F">
              <w:rPr>
                <w:sz w:val="18"/>
                <w:szCs w:val="18"/>
              </w:rPr>
              <w:t>Help farmers to recognize their households’ dynamics in the communication products, in particular in the p</w:t>
            </w:r>
            <w:r w:rsidR="00A45191">
              <w:rPr>
                <w:sz w:val="18"/>
                <w:szCs w:val="18"/>
              </w:rPr>
              <w:t>osters</w:t>
            </w:r>
          </w:p>
        </w:tc>
        <w:tc>
          <w:tcPr>
            <w:tcW w:w="4317" w:type="dxa"/>
            <w:tcBorders>
              <w:top w:val="single" w:sz="2" w:space="0" w:color="000001"/>
              <w:left w:val="single" w:sz="2" w:space="0" w:color="000001"/>
              <w:bottom w:val="single" w:sz="4" w:space="0" w:color="auto"/>
            </w:tcBorders>
            <w:shd w:val="clear" w:color="auto" w:fill="auto"/>
            <w:tcMar>
              <w:left w:w="51" w:type="dxa"/>
            </w:tcMar>
          </w:tcPr>
          <w:p w14:paraId="0C120F4D" w14:textId="29DE1B82" w:rsidR="00A45191" w:rsidRPr="0084776C" w:rsidRDefault="00A45191" w:rsidP="009A54C6">
            <w:pPr>
              <w:pStyle w:val="TableContents"/>
              <w:numPr>
                <w:ilvl w:val="2"/>
                <w:numId w:val="15"/>
              </w:numPr>
              <w:ind w:left="420" w:hanging="420"/>
              <w:rPr>
                <w:sz w:val="18"/>
                <w:szCs w:val="18"/>
              </w:rPr>
            </w:pPr>
            <w:r>
              <w:rPr>
                <w:sz w:val="18"/>
                <w:szCs w:val="18"/>
              </w:rPr>
              <w:t xml:space="preserve">The design and development of the posters will be an iterative process informed by the research </w:t>
            </w:r>
          </w:p>
        </w:tc>
        <w:tc>
          <w:tcPr>
            <w:tcW w:w="2012" w:type="dxa"/>
            <w:tcBorders>
              <w:top w:val="single" w:sz="2" w:space="0" w:color="000001"/>
              <w:left w:val="single" w:sz="2" w:space="0" w:color="000001"/>
              <w:bottom w:val="single" w:sz="4" w:space="0" w:color="auto"/>
            </w:tcBorders>
            <w:shd w:val="clear" w:color="auto" w:fill="auto"/>
            <w:tcMar>
              <w:left w:w="51" w:type="dxa"/>
            </w:tcMar>
          </w:tcPr>
          <w:p w14:paraId="2A46411C" w14:textId="77777777" w:rsidR="00A45191" w:rsidRDefault="00A45191" w:rsidP="009A54C6">
            <w:pPr>
              <w:pStyle w:val="TableContents"/>
              <w:rPr>
                <w:sz w:val="18"/>
                <w:szCs w:val="18"/>
              </w:rPr>
            </w:pPr>
            <w:r w:rsidRPr="0084776C">
              <w:rPr>
                <w:sz w:val="18"/>
                <w:szCs w:val="18"/>
              </w:rPr>
              <w:t>August 2016</w:t>
            </w:r>
          </w:p>
          <w:p w14:paraId="2BE1A5A9" w14:textId="7F05F12E" w:rsidR="00A45191" w:rsidRPr="0084776C" w:rsidRDefault="00A45191" w:rsidP="0010568B">
            <w:pPr>
              <w:pStyle w:val="TableContents"/>
              <w:ind w:left="360"/>
              <w:rPr>
                <w:sz w:val="18"/>
                <w:szCs w:val="18"/>
              </w:rPr>
            </w:pPr>
          </w:p>
        </w:tc>
        <w:tc>
          <w:tcPr>
            <w:tcW w:w="3859" w:type="dxa"/>
            <w:tcBorders>
              <w:top w:val="single" w:sz="2" w:space="0" w:color="000001"/>
              <w:left w:val="single" w:sz="2" w:space="0" w:color="000001"/>
              <w:bottom w:val="single" w:sz="4" w:space="0" w:color="auto"/>
              <w:right w:val="single" w:sz="2" w:space="0" w:color="000001"/>
            </w:tcBorders>
            <w:shd w:val="clear" w:color="auto" w:fill="auto"/>
            <w:tcMar>
              <w:left w:w="51" w:type="dxa"/>
            </w:tcMar>
          </w:tcPr>
          <w:p w14:paraId="561C8B81" w14:textId="54EA48C2" w:rsidR="009E2894" w:rsidRDefault="009E2894" w:rsidP="0037212C">
            <w:pPr>
              <w:pStyle w:val="TableContents"/>
              <w:rPr>
                <w:sz w:val="18"/>
                <w:szCs w:val="18"/>
              </w:rPr>
            </w:pPr>
            <w:r>
              <w:rPr>
                <w:sz w:val="18"/>
                <w:szCs w:val="18"/>
              </w:rPr>
              <w:t xml:space="preserve">Support from </w:t>
            </w:r>
            <w:r w:rsidRPr="0084776C">
              <w:rPr>
                <w:sz w:val="18"/>
                <w:szCs w:val="18"/>
              </w:rPr>
              <w:t>gender and communication expert</w:t>
            </w:r>
            <w:r>
              <w:rPr>
                <w:sz w:val="18"/>
                <w:szCs w:val="18"/>
              </w:rPr>
              <w:t xml:space="preserve"> </w:t>
            </w:r>
          </w:p>
          <w:p w14:paraId="0A9D1013" w14:textId="59312533" w:rsidR="00A45191" w:rsidRPr="0084776C" w:rsidRDefault="00A45191" w:rsidP="0010568B">
            <w:pPr>
              <w:pStyle w:val="TableContents"/>
              <w:ind w:left="360"/>
              <w:rPr>
                <w:sz w:val="18"/>
                <w:szCs w:val="18"/>
              </w:rPr>
            </w:pPr>
          </w:p>
        </w:tc>
      </w:tr>
      <w:tr w:rsidR="00A45191" w:rsidRPr="0084776C" w14:paraId="3DE6B0C4" w14:textId="77777777" w:rsidTr="009A54C6">
        <w:trPr>
          <w:trHeight w:hRule="exact" w:val="1229"/>
        </w:trPr>
        <w:tc>
          <w:tcPr>
            <w:tcW w:w="1578" w:type="dxa"/>
            <w:vMerge/>
            <w:tcBorders>
              <w:left w:val="single" w:sz="2" w:space="0" w:color="000001"/>
            </w:tcBorders>
            <w:shd w:val="clear" w:color="auto" w:fill="auto"/>
            <w:tcMar>
              <w:left w:w="51" w:type="dxa"/>
            </w:tcMar>
          </w:tcPr>
          <w:p w14:paraId="0C527DD9" w14:textId="77777777" w:rsidR="00A45191" w:rsidRPr="0084776C" w:rsidRDefault="00A45191">
            <w:pPr>
              <w:pStyle w:val="TableContents"/>
              <w:rPr>
                <w:sz w:val="18"/>
                <w:szCs w:val="18"/>
              </w:rPr>
            </w:pPr>
          </w:p>
        </w:tc>
        <w:tc>
          <w:tcPr>
            <w:tcW w:w="2910" w:type="dxa"/>
            <w:tcBorders>
              <w:top w:val="single" w:sz="4" w:space="0" w:color="auto"/>
              <w:left w:val="single" w:sz="2" w:space="0" w:color="000001"/>
              <w:bottom w:val="single" w:sz="4" w:space="0" w:color="auto"/>
            </w:tcBorders>
            <w:shd w:val="clear" w:color="auto" w:fill="auto"/>
            <w:tcMar>
              <w:left w:w="51" w:type="dxa"/>
            </w:tcMar>
          </w:tcPr>
          <w:p w14:paraId="53B2A068" w14:textId="342C8681" w:rsidR="00A45191" w:rsidRPr="0084776C" w:rsidDel="00C77079" w:rsidRDefault="00A45191" w:rsidP="009A54C6">
            <w:pPr>
              <w:pStyle w:val="TableContents"/>
              <w:ind w:left="353" w:hanging="353"/>
              <w:rPr>
                <w:sz w:val="18"/>
                <w:szCs w:val="18"/>
              </w:rPr>
            </w:pPr>
            <w:proofErr w:type="gramStart"/>
            <w:r>
              <w:rPr>
                <w:sz w:val="18"/>
                <w:szCs w:val="18"/>
              </w:rPr>
              <w:t>2.2  Streng</w:t>
            </w:r>
            <w:r w:rsidR="00DA02D8">
              <w:rPr>
                <w:sz w:val="18"/>
                <w:szCs w:val="18"/>
              </w:rPr>
              <w:t>then</w:t>
            </w:r>
            <w:proofErr w:type="gramEnd"/>
            <w:r w:rsidR="00DA02D8">
              <w:rPr>
                <w:sz w:val="18"/>
                <w:szCs w:val="18"/>
              </w:rPr>
              <w:t xml:space="preserve"> involvement of young people (Under 35) </w:t>
            </w:r>
          </w:p>
        </w:tc>
        <w:tc>
          <w:tcPr>
            <w:tcW w:w="4317" w:type="dxa"/>
            <w:tcBorders>
              <w:top w:val="single" w:sz="4" w:space="0" w:color="auto"/>
              <w:left w:val="single" w:sz="2" w:space="0" w:color="000001"/>
              <w:bottom w:val="single" w:sz="4" w:space="0" w:color="auto"/>
            </w:tcBorders>
            <w:shd w:val="clear" w:color="auto" w:fill="auto"/>
            <w:tcMar>
              <w:left w:w="51" w:type="dxa"/>
            </w:tcMar>
          </w:tcPr>
          <w:p w14:paraId="06C0A6ED" w14:textId="63D8F48E" w:rsidR="00A45191" w:rsidRDefault="00A45191" w:rsidP="009A54C6">
            <w:pPr>
              <w:pStyle w:val="TableContents"/>
              <w:ind w:left="420" w:hanging="426"/>
              <w:rPr>
                <w:sz w:val="18"/>
                <w:szCs w:val="18"/>
              </w:rPr>
            </w:pPr>
            <w:proofErr w:type="gramStart"/>
            <w:r>
              <w:rPr>
                <w:sz w:val="18"/>
                <w:szCs w:val="18"/>
              </w:rPr>
              <w:t xml:space="preserve">2.2.1  </w:t>
            </w:r>
            <w:r w:rsidR="009E2894">
              <w:rPr>
                <w:sz w:val="18"/>
                <w:szCs w:val="18"/>
              </w:rPr>
              <w:t>T</w:t>
            </w:r>
            <w:r>
              <w:rPr>
                <w:sz w:val="18"/>
                <w:szCs w:val="18"/>
              </w:rPr>
              <w:t>hrough</w:t>
            </w:r>
            <w:proofErr w:type="gramEnd"/>
            <w:r>
              <w:rPr>
                <w:sz w:val="18"/>
                <w:szCs w:val="18"/>
              </w:rPr>
              <w:t xml:space="preserve"> production of one million of Shujaaz comics and associated social media that will target particularly youth. Comics will be developed to</w:t>
            </w:r>
            <w:r w:rsidR="00B9469B">
              <w:rPr>
                <w:sz w:val="18"/>
                <w:szCs w:val="18"/>
              </w:rPr>
              <w:t xml:space="preserve"> show youth that take </w:t>
            </w:r>
            <w:r w:rsidR="006D048F">
              <w:rPr>
                <w:sz w:val="18"/>
                <w:szCs w:val="18"/>
              </w:rPr>
              <w:t>advice</w:t>
            </w:r>
            <w:r w:rsidR="00B9469B">
              <w:rPr>
                <w:sz w:val="18"/>
                <w:szCs w:val="18"/>
              </w:rPr>
              <w:t xml:space="preserve"> on improved legumes technologies.</w:t>
            </w:r>
          </w:p>
        </w:tc>
        <w:tc>
          <w:tcPr>
            <w:tcW w:w="2012" w:type="dxa"/>
            <w:tcBorders>
              <w:top w:val="single" w:sz="4" w:space="0" w:color="auto"/>
              <w:left w:val="single" w:sz="2" w:space="0" w:color="000001"/>
              <w:bottom w:val="single" w:sz="4" w:space="0" w:color="auto"/>
            </w:tcBorders>
            <w:shd w:val="clear" w:color="auto" w:fill="auto"/>
            <w:tcMar>
              <w:left w:w="51" w:type="dxa"/>
            </w:tcMar>
          </w:tcPr>
          <w:p w14:paraId="27D09037" w14:textId="3196ADB7" w:rsidR="00A45191" w:rsidRPr="0084776C" w:rsidRDefault="00A45191" w:rsidP="00BB374E">
            <w:pPr>
              <w:pStyle w:val="TableContents"/>
              <w:rPr>
                <w:sz w:val="18"/>
                <w:szCs w:val="18"/>
              </w:rPr>
            </w:pPr>
            <w:r>
              <w:rPr>
                <w:sz w:val="18"/>
                <w:szCs w:val="18"/>
              </w:rPr>
              <w:t xml:space="preserve">October 2016 </w:t>
            </w:r>
          </w:p>
        </w:tc>
        <w:tc>
          <w:tcPr>
            <w:tcW w:w="3859" w:type="dxa"/>
            <w:tcBorders>
              <w:top w:val="single" w:sz="4" w:space="0" w:color="auto"/>
              <w:left w:val="single" w:sz="2" w:space="0" w:color="000001"/>
              <w:bottom w:val="single" w:sz="4" w:space="0" w:color="auto"/>
              <w:right w:val="single" w:sz="2" w:space="0" w:color="000001"/>
            </w:tcBorders>
            <w:shd w:val="clear" w:color="auto" w:fill="auto"/>
            <w:tcMar>
              <w:left w:w="51" w:type="dxa"/>
            </w:tcMar>
          </w:tcPr>
          <w:p w14:paraId="073957B7" w14:textId="520052B0" w:rsidR="00A45191" w:rsidDel="00C77079" w:rsidRDefault="00A45191" w:rsidP="009A54C6">
            <w:pPr>
              <w:pStyle w:val="TableContents"/>
              <w:rPr>
                <w:sz w:val="18"/>
                <w:szCs w:val="18"/>
              </w:rPr>
            </w:pPr>
            <w:r>
              <w:rPr>
                <w:sz w:val="18"/>
                <w:szCs w:val="18"/>
              </w:rPr>
              <w:t xml:space="preserve">Shujaaz comics and associated social-media </w:t>
            </w:r>
          </w:p>
        </w:tc>
      </w:tr>
      <w:tr w:rsidR="00A45191" w:rsidRPr="0084776C" w14:paraId="13C363FF" w14:textId="77777777" w:rsidTr="009A54C6">
        <w:trPr>
          <w:trHeight w:hRule="exact" w:val="1345"/>
        </w:trPr>
        <w:tc>
          <w:tcPr>
            <w:tcW w:w="1578" w:type="dxa"/>
            <w:vMerge/>
            <w:tcBorders>
              <w:left w:val="single" w:sz="2" w:space="0" w:color="000001"/>
            </w:tcBorders>
            <w:shd w:val="clear" w:color="auto" w:fill="auto"/>
            <w:tcMar>
              <w:left w:w="51" w:type="dxa"/>
            </w:tcMar>
          </w:tcPr>
          <w:p w14:paraId="4497EA68" w14:textId="77777777" w:rsidR="00A45191" w:rsidRPr="0084776C" w:rsidRDefault="00A45191">
            <w:pPr>
              <w:pStyle w:val="TableContents"/>
              <w:rPr>
                <w:sz w:val="18"/>
                <w:szCs w:val="18"/>
              </w:rPr>
            </w:pPr>
          </w:p>
        </w:tc>
        <w:tc>
          <w:tcPr>
            <w:tcW w:w="2910" w:type="dxa"/>
            <w:tcBorders>
              <w:top w:val="single" w:sz="4" w:space="0" w:color="auto"/>
              <w:left w:val="single" w:sz="2" w:space="0" w:color="000001"/>
              <w:bottom w:val="single" w:sz="4" w:space="0" w:color="auto"/>
            </w:tcBorders>
            <w:shd w:val="clear" w:color="auto" w:fill="auto"/>
            <w:tcMar>
              <w:left w:w="51" w:type="dxa"/>
            </w:tcMar>
          </w:tcPr>
          <w:p w14:paraId="13087359" w14:textId="3A859EAB" w:rsidR="00A45191" w:rsidRDefault="00B9469B" w:rsidP="009A54C6">
            <w:pPr>
              <w:pStyle w:val="TableContents"/>
              <w:ind w:left="353" w:hanging="353"/>
              <w:rPr>
                <w:sz w:val="18"/>
                <w:szCs w:val="18"/>
              </w:rPr>
            </w:pPr>
            <w:r>
              <w:rPr>
                <w:sz w:val="18"/>
                <w:szCs w:val="18"/>
              </w:rPr>
              <w:t xml:space="preserve">2.3 </w:t>
            </w:r>
            <w:r w:rsidR="00A45191">
              <w:rPr>
                <w:sz w:val="18"/>
                <w:szCs w:val="18"/>
              </w:rPr>
              <w:t xml:space="preserve"> </w:t>
            </w:r>
            <w:r>
              <w:rPr>
                <w:sz w:val="18"/>
                <w:szCs w:val="18"/>
              </w:rPr>
              <w:t xml:space="preserve"> Develop a more participatory radio approach and better align project with feedback from women listening group within Radio 5. </w:t>
            </w:r>
          </w:p>
        </w:tc>
        <w:tc>
          <w:tcPr>
            <w:tcW w:w="4317" w:type="dxa"/>
            <w:tcBorders>
              <w:top w:val="single" w:sz="4" w:space="0" w:color="auto"/>
              <w:left w:val="single" w:sz="2" w:space="0" w:color="000001"/>
              <w:bottom w:val="single" w:sz="4" w:space="0" w:color="auto"/>
            </w:tcBorders>
            <w:shd w:val="clear" w:color="auto" w:fill="auto"/>
            <w:tcMar>
              <w:left w:w="51" w:type="dxa"/>
            </w:tcMar>
          </w:tcPr>
          <w:p w14:paraId="0077AD99" w14:textId="4C2E9269" w:rsidR="00A45191" w:rsidRDefault="00A45191" w:rsidP="00DA02D8">
            <w:pPr>
              <w:pStyle w:val="TableContents"/>
              <w:ind w:left="420" w:hanging="420"/>
              <w:rPr>
                <w:sz w:val="18"/>
                <w:szCs w:val="18"/>
              </w:rPr>
            </w:pPr>
            <w:proofErr w:type="gramStart"/>
            <w:r>
              <w:rPr>
                <w:sz w:val="18"/>
                <w:szCs w:val="18"/>
              </w:rPr>
              <w:t xml:space="preserve">2.3.1  </w:t>
            </w:r>
            <w:r w:rsidR="00E35E61">
              <w:rPr>
                <w:sz w:val="18"/>
                <w:szCs w:val="18"/>
              </w:rPr>
              <w:t>P</w:t>
            </w:r>
            <w:r w:rsidR="00924C00">
              <w:rPr>
                <w:sz w:val="18"/>
                <w:szCs w:val="18"/>
              </w:rPr>
              <w:t>roducing</w:t>
            </w:r>
            <w:proofErr w:type="gramEnd"/>
            <w:r w:rsidR="00924C00">
              <w:rPr>
                <w:sz w:val="18"/>
                <w:szCs w:val="18"/>
              </w:rPr>
              <w:t xml:space="preserve"> a </w:t>
            </w:r>
            <w:r w:rsidR="00B9469B" w:rsidRPr="0084776C">
              <w:rPr>
                <w:sz w:val="18"/>
                <w:szCs w:val="18"/>
              </w:rPr>
              <w:t xml:space="preserve">radio series on common bean </w:t>
            </w:r>
            <w:r w:rsidR="00B9469B">
              <w:rPr>
                <w:sz w:val="18"/>
                <w:szCs w:val="18"/>
              </w:rPr>
              <w:t xml:space="preserve">specifically </w:t>
            </w:r>
            <w:r w:rsidR="00B9469B" w:rsidRPr="0084776C">
              <w:rPr>
                <w:sz w:val="18"/>
                <w:szCs w:val="18"/>
              </w:rPr>
              <w:t xml:space="preserve">with by and for women </w:t>
            </w:r>
            <w:r w:rsidR="00924C00">
              <w:rPr>
                <w:sz w:val="18"/>
                <w:szCs w:val="18"/>
              </w:rPr>
              <w:t xml:space="preserve">that will incorporate drama/ songs  to address some of the issues of household </w:t>
            </w:r>
            <w:r w:rsidR="00864E27">
              <w:rPr>
                <w:sz w:val="18"/>
                <w:szCs w:val="18"/>
              </w:rPr>
              <w:t>dynamics. Feedback</w:t>
            </w:r>
            <w:r w:rsidR="00924C00">
              <w:rPr>
                <w:sz w:val="18"/>
                <w:szCs w:val="18"/>
              </w:rPr>
              <w:t xml:space="preserve"> will be captured</w:t>
            </w:r>
            <w:r w:rsidR="00B9469B">
              <w:rPr>
                <w:sz w:val="18"/>
                <w:szCs w:val="18"/>
              </w:rPr>
              <w:t xml:space="preserve"> </w:t>
            </w:r>
            <w:r w:rsidR="00924C00">
              <w:rPr>
                <w:sz w:val="18"/>
                <w:szCs w:val="18"/>
              </w:rPr>
              <w:t>with an</w:t>
            </w:r>
            <w:r w:rsidR="00B9469B">
              <w:rPr>
                <w:sz w:val="18"/>
                <w:szCs w:val="18"/>
              </w:rPr>
              <w:t xml:space="preserve"> ext</w:t>
            </w:r>
            <w:r w:rsidR="00924C00">
              <w:rPr>
                <w:sz w:val="18"/>
                <w:szCs w:val="18"/>
              </w:rPr>
              <w:t xml:space="preserve">ensive </w:t>
            </w:r>
            <w:r w:rsidR="00E35E61">
              <w:rPr>
                <w:sz w:val="18"/>
                <w:szCs w:val="18"/>
              </w:rPr>
              <w:t>L</w:t>
            </w:r>
            <w:r w:rsidR="00924C00">
              <w:rPr>
                <w:sz w:val="18"/>
                <w:szCs w:val="18"/>
              </w:rPr>
              <w:t xml:space="preserve">istening </w:t>
            </w:r>
            <w:r w:rsidR="00E35E61">
              <w:rPr>
                <w:sz w:val="18"/>
                <w:szCs w:val="18"/>
              </w:rPr>
              <w:t>G</w:t>
            </w:r>
            <w:r w:rsidR="00924C00">
              <w:rPr>
                <w:sz w:val="18"/>
                <w:szCs w:val="18"/>
              </w:rPr>
              <w:t>roup exercise.</w:t>
            </w:r>
            <w:r w:rsidR="00B9469B">
              <w:rPr>
                <w:sz w:val="18"/>
                <w:szCs w:val="18"/>
              </w:rPr>
              <w:t xml:space="preserve"> </w:t>
            </w:r>
          </w:p>
          <w:p w14:paraId="463DCF76" w14:textId="77777777" w:rsidR="00A45191" w:rsidRDefault="00A45191" w:rsidP="00B01E30">
            <w:pPr>
              <w:pStyle w:val="TableContents"/>
              <w:rPr>
                <w:sz w:val="18"/>
                <w:szCs w:val="18"/>
              </w:rPr>
            </w:pPr>
          </w:p>
        </w:tc>
        <w:tc>
          <w:tcPr>
            <w:tcW w:w="2012" w:type="dxa"/>
            <w:tcBorders>
              <w:top w:val="single" w:sz="4" w:space="0" w:color="auto"/>
              <w:left w:val="single" w:sz="2" w:space="0" w:color="000001"/>
              <w:bottom w:val="single" w:sz="4" w:space="0" w:color="auto"/>
            </w:tcBorders>
            <w:shd w:val="clear" w:color="auto" w:fill="auto"/>
            <w:tcMar>
              <w:left w:w="51" w:type="dxa"/>
            </w:tcMar>
          </w:tcPr>
          <w:p w14:paraId="4C4CA933" w14:textId="794DEF7A" w:rsidR="00A45191" w:rsidRDefault="00A45191" w:rsidP="009A54C6">
            <w:pPr>
              <w:pStyle w:val="TableContents"/>
              <w:rPr>
                <w:sz w:val="18"/>
                <w:szCs w:val="18"/>
              </w:rPr>
            </w:pPr>
            <w:r>
              <w:rPr>
                <w:sz w:val="18"/>
                <w:szCs w:val="18"/>
              </w:rPr>
              <w:t xml:space="preserve">October 2016 </w:t>
            </w:r>
          </w:p>
        </w:tc>
        <w:tc>
          <w:tcPr>
            <w:tcW w:w="3859" w:type="dxa"/>
            <w:tcBorders>
              <w:top w:val="single" w:sz="4" w:space="0" w:color="auto"/>
              <w:left w:val="single" w:sz="2" w:space="0" w:color="000001"/>
              <w:bottom w:val="single" w:sz="4" w:space="0" w:color="auto"/>
              <w:right w:val="single" w:sz="2" w:space="0" w:color="000001"/>
            </w:tcBorders>
            <w:shd w:val="clear" w:color="auto" w:fill="auto"/>
            <w:tcMar>
              <w:left w:w="51" w:type="dxa"/>
            </w:tcMar>
          </w:tcPr>
          <w:p w14:paraId="1C7C08FA" w14:textId="2DEFCF2C" w:rsidR="00A45191" w:rsidRDefault="00A45191" w:rsidP="009A54C6">
            <w:pPr>
              <w:pStyle w:val="TableContents"/>
              <w:rPr>
                <w:sz w:val="18"/>
                <w:szCs w:val="18"/>
              </w:rPr>
            </w:pPr>
            <w:r>
              <w:rPr>
                <w:sz w:val="18"/>
                <w:szCs w:val="18"/>
              </w:rPr>
              <w:t xml:space="preserve">Radio series complemented by </w:t>
            </w:r>
            <w:r w:rsidR="00B9469B">
              <w:rPr>
                <w:sz w:val="18"/>
                <w:szCs w:val="18"/>
              </w:rPr>
              <w:t xml:space="preserve">extensive listening group </w:t>
            </w:r>
            <w:proofErr w:type="gramStart"/>
            <w:r w:rsidR="00B9469B">
              <w:rPr>
                <w:sz w:val="18"/>
                <w:szCs w:val="18"/>
              </w:rPr>
              <w:t>exercise  and</w:t>
            </w:r>
            <w:proofErr w:type="gramEnd"/>
            <w:r w:rsidR="00B9469B">
              <w:rPr>
                <w:sz w:val="18"/>
                <w:szCs w:val="18"/>
              </w:rPr>
              <w:t xml:space="preserve"> incorporate drama/ songs</w:t>
            </w:r>
          </w:p>
          <w:p w14:paraId="3403E05F" w14:textId="77777777" w:rsidR="00A45191" w:rsidRDefault="00A45191" w:rsidP="00BB374E">
            <w:pPr>
              <w:pStyle w:val="TableContents"/>
              <w:rPr>
                <w:sz w:val="18"/>
                <w:szCs w:val="18"/>
              </w:rPr>
            </w:pPr>
          </w:p>
        </w:tc>
      </w:tr>
      <w:tr w:rsidR="00A45191" w:rsidRPr="0084776C" w14:paraId="44B0DAD5" w14:textId="77777777" w:rsidTr="009A54C6">
        <w:trPr>
          <w:trHeight w:hRule="exact" w:val="1086"/>
        </w:trPr>
        <w:tc>
          <w:tcPr>
            <w:tcW w:w="1578" w:type="dxa"/>
            <w:vMerge/>
            <w:tcBorders>
              <w:left w:val="single" w:sz="2" w:space="0" w:color="000001"/>
            </w:tcBorders>
            <w:shd w:val="clear" w:color="auto" w:fill="auto"/>
            <w:tcMar>
              <w:left w:w="51" w:type="dxa"/>
            </w:tcMar>
          </w:tcPr>
          <w:p w14:paraId="708C2113" w14:textId="77777777" w:rsidR="00A45191" w:rsidRPr="0084776C" w:rsidRDefault="00A45191">
            <w:pPr>
              <w:pStyle w:val="TableContents"/>
              <w:rPr>
                <w:sz w:val="18"/>
                <w:szCs w:val="18"/>
              </w:rPr>
            </w:pPr>
          </w:p>
        </w:tc>
        <w:tc>
          <w:tcPr>
            <w:tcW w:w="2910" w:type="dxa"/>
            <w:tcBorders>
              <w:top w:val="single" w:sz="4" w:space="0" w:color="auto"/>
              <w:left w:val="single" w:sz="2" w:space="0" w:color="000001"/>
              <w:bottom w:val="single" w:sz="4" w:space="0" w:color="auto"/>
            </w:tcBorders>
            <w:shd w:val="clear" w:color="auto" w:fill="auto"/>
            <w:tcMar>
              <w:left w:w="51" w:type="dxa"/>
            </w:tcMar>
          </w:tcPr>
          <w:p w14:paraId="07B65164" w14:textId="763C1F3C" w:rsidR="006D048F" w:rsidRDefault="006D048F" w:rsidP="00CF11F8">
            <w:pPr>
              <w:pStyle w:val="TableContents"/>
              <w:numPr>
                <w:ilvl w:val="1"/>
                <w:numId w:val="8"/>
              </w:numPr>
              <w:rPr>
                <w:sz w:val="18"/>
                <w:szCs w:val="18"/>
              </w:rPr>
            </w:pPr>
            <w:r>
              <w:rPr>
                <w:sz w:val="18"/>
                <w:szCs w:val="18"/>
              </w:rPr>
              <w:t>Explore better ways of reaching farmers by better understanding their literacy</w:t>
            </w:r>
          </w:p>
          <w:p w14:paraId="4ADDCD30" w14:textId="6384DFC2" w:rsidR="00A45191" w:rsidRDefault="00A45191" w:rsidP="00864E27">
            <w:pPr>
              <w:pStyle w:val="TableContents"/>
              <w:ind w:left="360"/>
              <w:rPr>
                <w:sz w:val="18"/>
                <w:szCs w:val="18"/>
              </w:rPr>
            </w:pPr>
          </w:p>
        </w:tc>
        <w:tc>
          <w:tcPr>
            <w:tcW w:w="4317" w:type="dxa"/>
            <w:tcBorders>
              <w:top w:val="single" w:sz="4" w:space="0" w:color="auto"/>
              <w:left w:val="single" w:sz="2" w:space="0" w:color="000001"/>
              <w:bottom w:val="single" w:sz="4" w:space="0" w:color="auto"/>
            </w:tcBorders>
            <w:shd w:val="clear" w:color="auto" w:fill="auto"/>
            <w:tcMar>
              <w:left w:w="51" w:type="dxa"/>
            </w:tcMar>
          </w:tcPr>
          <w:p w14:paraId="4376BB10" w14:textId="0CB6E36D" w:rsidR="006D048F" w:rsidRDefault="00CF11F8" w:rsidP="00DA02D8">
            <w:pPr>
              <w:pStyle w:val="TableContents"/>
              <w:ind w:left="420" w:hanging="420"/>
              <w:rPr>
                <w:sz w:val="18"/>
                <w:szCs w:val="18"/>
              </w:rPr>
            </w:pPr>
            <w:r>
              <w:rPr>
                <w:sz w:val="18"/>
                <w:szCs w:val="18"/>
              </w:rPr>
              <w:t xml:space="preserve">2.3.1 </w:t>
            </w:r>
            <w:r w:rsidR="00E35E61">
              <w:rPr>
                <w:sz w:val="18"/>
                <w:szCs w:val="18"/>
              </w:rPr>
              <w:t>Using</w:t>
            </w:r>
            <w:r w:rsidR="006D048F">
              <w:rPr>
                <w:sz w:val="18"/>
                <w:szCs w:val="18"/>
              </w:rPr>
              <w:t xml:space="preserve"> results </w:t>
            </w:r>
            <w:r w:rsidR="00E35E61">
              <w:rPr>
                <w:sz w:val="18"/>
                <w:szCs w:val="18"/>
              </w:rPr>
              <w:t xml:space="preserve">of surveys from </w:t>
            </w:r>
            <w:r w:rsidR="00864E27">
              <w:rPr>
                <w:sz w:val="18"/>
                <w:szCs w:val="18"/>
              </w:rPr>
              <w:t xml:space="preserve">farmers that </w:t>
            </w:r>
            <w:r w:rsidR="006D048F">
              <w:rPr>
                <w:sz w:val="18"/>
                <w:szCs w:val="18"/>
              </w:rPr>
              <w:t xml:space="preserve">received </w:t>
            </w:r>
            <w:r w:rsidR="00E35E61">
              <w:rPr>
                <w:sz w:val="18"/>
                <w:szCs w:val="18"/>
              </w:rPr>
              <w:t>SMS</w:t>
            </w:r>
            <w:r w:rsidR="006D048F">
              <w:rPr>
                <w:sz w:val="18"/>
                <w:szCs w:val="18"/>
              </w:rPr>
              <w:t xml:space="preserve"> and voice messages to gather information on farmers’ literacy. </w:t>
            </w:r>
            <w:r w:rsidR="00E35E61">
              <w:rPr>
                <w:sz w:val="18"/>
                <w:szCs w:val="18"/>
              </w:rPr>
              <w:t>M</w:t>
            </w:r>
            <w:r w:rsidR="006D048F">
              <w:rPr>
                <w:sz w:val="18"/>
                <w:szCs w:val="18"/>
              </w:rPr>
              <w:t xml:space="preserve">en, women and youth will be part of this exercise. </w:t>
            </w:r>
          </w:p>
          <w:p w14:paraId="0C6AB514" w14:textId="77777777" w:rsidR="00A45191" w:rsidRDefault="00A45191" w:rsidP="00A45191">
            <w:pPr>
              <w:pStyle w:val="TableContents"/>
              <w:rPr>
                <w:sz w:val="18"/>
                <w:szCs w:val="18"/>
              </w:rPr>
            </w:pPr>
          </w:p>
          <w:p w14:paraId="74B17636" w14:textId="77777777" w:rsidR="00A45191" w:rsidRDefault="00A45191" w:rsidP="00A45191">
            <w:pPr>
              <w:pStyle w:val="TableContents"/>
              <w:rPr>
                <w:sz w:val="18"/>
                <w:szCs w:val="18"/>
              </w:rPr>
            </w:pPr>
          </w:p>
          <w:p w14:paraId="5710ED6D" w14:textId="77777777" w:rsidR="00A45191" w:rsidRDefault="00A45191" w:rsidP="00A45191">
            <w:pPr>
              <w:pStyle w:val="TableContents"/>
              <w:rPr>
                <w:sz w:val="18"/>
                <w:szCs w:val="18"/>
              </w:rPr>
            </w:pPr>
          </w:p>
          <w:p w14:paraId="3F715985" w14:textId="77777777" w:rsidR="00A45191" w:rsidRDefault="00A45191" w:rsidP="00A45191">
            <w:pPr>
              <w:pStyle w:val="TableContents"/>
              <w:rPr>
                <w:sz w:val="18"/>
                <w:szCs w:val="18"/>
              </w:rPr>
            </w:pPr>
          </w:p>
          <w:p w14:paraId="3A158ADF" w14:textId="77777777" w:rsidR="00A45191" w:rsidDel="00C77079" w:rsidRDefault="00A45191" w:rsidP="00B01E30">
            <w:pPr>
              <w:pStyle w:val="TableContents"/>
              <w:rPr>
                <w:sz w:val="18"/>
                <w:szCs w:val="18"/>
              </w:rPr>
            </w:pPr>
          </w:p>
        </w:tc>
        <w:tc>
          <w:tcPr>
            <w:tcW w:w="2012" w:type="dxa"/>
            <w:tcBorders>
              <w:top w:val="single" w:sz="4" w:space="0" w:color="auto"/>
              <w:left w:val="single" w:sz="2" w:space="0" w:color="000001"/>
              <w:bottom w:val="single" w:sz="4" w:space="0" w:color="auto"/>
            </w:tcBorders>
            <w:shd w:val="clear" w:color="auto" w:fill="auto"/>
            <w:tcMar>
              <w:left w:w="51" w:type="dxa"/>
            </w:tcMar>
          </w:tcPr>
          <w:p w14:paraId="5DCD5CDE" w14:textId="29154EB1" w:rsidR="00A45191" w:rsidRDefault="009A54C6" w:rsidP="009A54C6">
            <w:pPr>
              <w:pStyle w:val="TableContents"/>
              <w:rPr>
                <w:sz w:val="18"/>
                <w:szCs w:val="18"/>
              </w:rPr>
            </w:pPr>
            <w:r>
              <w:rPr>
                <w:sz w:val="18"/>
                <w:szCs w:val="18"/>
              </w:rPr>
              <w:t>F</w:t>
            </w:r>
            <w:r w:rsidR="00A45191">
              <w:rPr>
                <w:sz w:val="18"/>
                <w:szCs w:val="18"/>
              </w:rPr>
              <w:t>rom April 2016</w:t>
            </w:r>
          </w:p>
          <w:p w14:paraId="2A709A60" w14:textId="77777777" w:rsidR="00A45191" w:rsidRDefault="00A45191" w:rsidP="00A45191">
            <w:pPr>
              <w:pStyle w:val="TableContents"/>
              <w:rPr>
                <w:sz w:val="18"/>
                <w:szCs w:val="18"/>
              </w:rPr>
            </w:pPr>
          </w:p>
          <w:p w14:paraId="3CDF13AA" w14:textId="77777777" w:rsidR="00A45191" w:rsidRDefault="00A45191" w:rsidP="00A45191">
            <w:pPr>
              <w:pStyle w:val="TableContents"/>
              <w:rPr>
                <w:sz w:val="18"/>
                <w:szCs w:val="18"/>
              </w:rPr>
            </w:pPr>
          </w:p>
          <w:p w14:paraId="550242D7" w14:textId="77777777" w:rsidR="00A45191" w:rsidRDefault="00A45191" w:rsidP="00A45191">
            <w:pPr>
              <w:pStyle w:val="TableContents"/>
              <w:rPr>
                <w:sz w:val="18"/>
                <w:szCs w:val="18"/>
              </w:rPr>
            </w:pPr>
          </w:p>
          <w:p w14:paraId="677D5E15" w14:textId="5471C091" w:rsidR="00A45191" w:rsidRDefault="00A45191" w:rsidP="00864E27">
            <w:pPr>
              <w:pStyle w:val="TableContents"/>
              <w:ind w:left="720"/>
              <w:rPr>
                <w:sz w:val="18"/>
                <w:szCs w:val="18"/>
              </w:rPr>
            </w:pPr>
          </w:p>
        </w:tc>
        <w:tc>
          <w:tcPr>
            <w:tcW w:w="3859" w:type="dxa"/>
            <w:tcBorders>
              <w:top w:val="single" w:sz="4" w:space="0" w:color="auto"/>
              <w:left w:val="single" w:sz="2" w:space="0" w:color="000001"/>
              <w:bottom w:val="single" w:sz="4" w:space="0" w:color="auto"/>
              <w:right w:val="single" w:sz="2" w:space="0" w:color="000001"/>
            </w:tcBorders>
            <w:shd w:val="clear" w:color="auto" w:fill="auto"/>
            <w:tcMar>
              <w:left w:w="51" w:type="dxa"/>
            </w:tcMar>
          </w:tcPr>
          <w:p w14:paraId="208CE137" w14:textId="77777777" w:rsidR="00A45191" w:rsidRDefault="006D048F" w:rsidP="0037212C">
            <w:pPr>
              <w:pStyle w:val="TableContents"/>
              <w:rPr>
                <w:sz w:val="18"/>
                <w:szCs w:val="18"/>
              </w:rPr>
            </w:pPr>
            <w:r>
              <w:rPr>
                <w:sz w:val="18"/>
                <w:szCs w:val="18"/>
              </w:rPr>
              <w:t>SMS and voice products</w:t>
            </w:r>
          </w:p>
          <w:p w14:paraId="094F24B3" w14:textId="77777777" w:rsidR="00E35E61" w:rsidRDefault="00E35E61" w:rsidP="0037212C">
            <w:pPr>
              <w:pStyle w:val="TableContents"/>
              <w:rPr>
                <w:sz w:val="18"/>
                <w:szCs w:val="18"/>
              </w:rPr>
            </w:pPr>
            <w:r>
              <w:rPr>
                <w:sz w:val="18"/>
                <w:szCs w:val="18"/>
              </w:rPr>
              <w:t xml:space="preserve">Research reports </w:t>
            </w:r>
          </w:p>
          <w:p w14:paraId="4F8F39FF" w14:textId="379C67A7" w:rsidR="00E35E61" w:rsidRDefault="00E35E61" w:rsidP="0037212C">
            <w:pPr>
              <w:pStyle w:val="TableContents"/>
              <w:rPr>
                <w:sz w:val="18"/>
                <w:szCs w:val="18"/>
              </w:rPr>
            </w:pPr>
            <w:r>
              <w:rPr>
                <w:sz w:val="18"/>
                <w:szCs w:val="18"/>
              </w:rPr>
              <w:t xml:space="preserve">Practice notes </w:t>
            </w:r>
          </w:p>
        </w:tc>
      </w:tr>
      <w:tr w:rsidR="00A45191" w:rsidRPr="0084776C" w14:paraId="1D5491CD" w14:textId="77777777" w:rsidTr="009A54C6">
        <w:trPr>
          <w:trHeight w:hRule="exact" w:val="1343"/>
        </w:trPr>
        <w:tc>
          <w:tcPr>
            <w:tcW w:w="1578" w:type="dxa"/>
            <w:vMerge/>
            <w:tcBorders>
              <w:left w:val="single" w:sz="2" w:space="0" w:color="000001"/>
            </w:tcBorders>
            <w:shd w:val="clear" w:color="auto" w:fill="auto"/>
            <w:tcMar>
              <w:left w:w="51" w:type="dxa"/>
            </w:tcMar>
          </w:tcPr>
          <w:p w14:paraId="71B45EBB" w14:textId="77777777" w:rsidR="00A45191" w:rsidRPr="0084776C" w:rsidRDefault="00A45191">
            <w:pPr>
              <w:pStyle w:val="TableContents"/>
              <w:rPr>
                <w:sz w:val="18"/>
                <w:szCs w:val="18"/>
              </w:rPr>
            </w:pPr>
          </w:p>
        </w:tc>
        <w:tc>
          <w:tcPr>
            <w:tcW w:w="2910" w:type="dxa"/>
            <w:tcBorders>
              <w:top w:val="single" w:sz="4" w:space="0" w:color="auto"/>
              <w:left w:val="single" w:sz="2" w:space="0" w:color="000001"/>
              <w:bottom w:val="single" w:sz="4" w:space="0" w:color="auto"/>
            </w:tcBorders>
            <w:shd w:val="clear" w:color="auto" w:fill="auto"/>
            <w:tcMar>
              <w:left w:w="51" w:type="dxa"/>
            </w:tcMar>
          </w:tcPr>
          <w:p w14:paraId="2FA3197B" w14:textId="0A734F61" w:rsidR="00A45191" w:rsidRPr="0084776C" w:rsidRDefault="00CF11F8" w:rsidP="00DA02D8">
            <w:pPr>
              <w:pStyle w:val="TableContents"/>
              <w:ind w:left="353" w:hanging="284"/>
              <w:rPr>
                <w:sz w:val="18"/>
                <w:szCs w:val="18"/>
              </w:rPr>
            </w:pPr>
            <w:proofErr w:type="gramStart"/>
            <w:r>
              <w:rPr>
                <w:sz w:val="18"/>
                <w:szCs w:val="18"/>
              </w:rPr>
              <w:t>2.4</w:t>
            </w:r>
            <w:r w:rsidR="00DA02D8">
              <w:rPr>
                <w:sz w:val="18"/>
                <w:szCs w:val="18"/>
              </w:rPr>
              <w:t xml:space="preserve">  </w:t>
            </w:r>
            <w:r w:rsidR="00A45191">
              <w:rPr>
                <w:sz w:val="18"/>
                <w:szCs w:val="18"/>
              </w:rPr>
              <w:t>Reviewing</w:t>
            </w:r>
            <w:proofErr w:type="gramEnd"/>
            <w:r w:rsidR="00A45191">
              <w:rPr>
                <w:sz w:val="18"/>
                <w:szCs w:val="18"/>
              </w:rPr>
              <w:t xml:space="preserve"> the design of farmer training days associated with the demo plots to overcome the issue of the inherent under-representation by women experienced in other projects </w:t>
            </w:r>
          </w:p>
        </w:tc>
        <w:tc>
          <w:tcPr>
            <w:tcW w:w="4317" w:type="dxa"/>
            <w:tcBorders>
              <w:top w:val="single" w:sz="4" w:space="0" w:color="auto"/>
              <w:left w:val="single" w:sz="2" w:space="0" w:color="000001"/>
              <w:bottom w:val="single" w:sz="4" w:space="0" w:color="auto"/>
            </w:tcBorders>
            <w:shd w:val="clear" w:color="auto" w:fill="auto"/>
            <w:tcMar>
              <w:left w:w="51" w:type="dxa"/>
            </w:tcMar>
          </w:tcPr>
          <w:p w14:paraId="1F154CBE" w14:textId="36A52A20" w:rsidR="00A45191" w:rsidRDefault="00CF11F8" w:rsidP="00DA02D8">
            <w:pPr>
              <w:pStyle w:val="TableContents"/>
              <w:ind w:left="420" w:hanging="420"/>
              <w:rPr>
                <w:sz w:val="18"/>
                <w:szCs w:val="18"/>
              </w:rPr>
            </w:pPr>
            <w:proofErr w:type="gramStart"/>
            <w:r>
              <w:rPr>
                <w:sz w:val="18"/>
                <w:szCs w:val="18"/>
              </w:rPr>
              <w:t xml:space="preserve">2.4.1 </w:t>
            </w:r>
            <w:r w:rsidR="001D4FE9">
              <w:rPr>
                <w:sz w:val="18"/>
                <w:szCs w:val="18"/>
              </w:rPr>
              <w:t xml:space="preserve"> Involve</w:t>
            </w:r>
            <w:proofErr w:type="gramEnd"/>
            <w:r w:rsidR="001D4FE9">
              <w:rPr>
                <w:sz w:val="18"/>
                <w:szCs w:val="18"/>
              </w:rPr>
              <w:t xml:space="preserve"> projects gender specialists in the design of the training materials </w:t>
            </w:r>
          </w:p>
        </w:tc>
        <w:tc>
          <w:tcPr>
            <w:tcW w:w="2012" w:type="dxa"/>
            <w:tcBorders>
              <w:top w:val="single" w:sz="4" w:space="0" w:color="auto"/>
              <w:left w:val="single" w:sz="2" w:space="0" w:color="000001"/>
              <w:bottom w:val="single" w:sz="4" w:space="0" w:color="auto"/>
            </w:tcBorders>
            <w:shd w:val="clear" w:color="auto" w:fill="auto"/>
            <w:tcMar>
              <w:left w:w="51" w:type="dxa"/>
            </w:tcMar>
          </w:tcPr>
          <w:p w14:paraId="0F2DCC53" w14:textId="7E245F87" w:rsidR="00A45191" w:rsidRDefault="00A45191" w:rsidP="00257D68">
            <w:pPr>
              <w:pStyle w:val="TableContents"/>
              <w:rPr>
                <w:sz w:val="18"/>
                <w:szCs w:val="18"/>
              </w:rPr>
            </w:pPr>
            <w:r>
              <w:rPr>
                <w:sz w:val="18"/>
                <w:szCs w:val="18"/>
              </w:rPr>
              <w:t xml:space="preserve">July 2016 </w:t>
            </w:r>
          </w:p>
        </w:tc>
        <w:tc>
          <w:tcPr>
            <w:tcW w:w="3859" w:type="dxa"/>
            <w:tcBorders>
              <w:top w:val="single" w:sz="4" w:space="0" w:color="auto"/>
              <w:left w:val="single" w:sz="2" w:space="0" w:color="000001"/>
              <w:bottom w:val="single" w:sz="4" w:space="0" w:color="auto"/>
              <w:right w:val="single" w:sz="2" w:space="0" w:color="000001"/>
            </w:tcBorders>
            <w:shd w:val="clear" w:color="auto" w:fill="auto"/>
            <w:tcMar>
              <w:left w:w="51" w:type="dxa"/>
            </w:tcMar>
          </w:tcPr>
          <w:p w14:paraId="6B044193" w14:textId="699CDB9A" w:rsidR="00A45191" w:rsidRDefault="001D4FE9" w:rsidP="009A54C6">
            <w:pPr>
              <w:pStyle w:val="TableContents"/>
              <w:rPr>
                <w:sz w:val="18"/>
                <w:szCs w:val="18"/>
              </w:rPr>
            </w:pPr>
            <w:r>
              <w:rPr>
                <w:sz w:val="18"/>
                <w:szCs w:val="18"/>
              </w:rPr>
              <w:t>Training material</w:t>
            </w:r>
          </w:p>
        </w:tc>
      </w:tr>
      <w:tr w:rsidR="00A45191" w:rsidRPr="0084776C" w14:paraId="46BCF31E" w14:textId="77777777" w:rsidTr="009A54C6">
        <w:trPr>
          <w:trHeight w:hRule="exact" w:val="1622"/>
        </w:trPr>
        <w:tc>
          <w:tcPr>
            <w:tcW w:w="1578" w:type="dxa"/>
            <w:vMerge/>
            <w:tcBorders>
              <w:left w:val="single" w:sz="2" w:space="0" w:color="000001"/>
              <w:bottom w:val="single" w:sz="2" w:space="0" w:color="000001"/>
            </w:tcBorders>
            <w:shd w:val="clear" w:color="auto" w:fill="auto"/>
            <w:tcMar>
              <w:left w:w="51" w:type="dxa"/>
            </w:tcMar>
          </w:tcPr>
          <w:p w14:paraId="248C8A5F" w14:textId="77777777" w:rsidR="00A45191" w:rsidRPr="0084776C" w:rsidRDefault="00A45191">
            <w:pPr>
              <w:pStyle w:val="TableContents"/>
              <w:rPr>
                <w:sz w:val="18"/>
                <w:szCs w:val="18"/>
              </w:rPr>
            </w:pPr>
          </w:p>
        </w:tc>
        <w:tc>
          <w:tcPr>
            <w:tcW w:w="2910" w:type="dxa"/>
            <w:tcBorders>
              <w:top w:val="single" w:sz="4" w:space="0" w:color="auto"/>
              <w:left w:val="single" w:sz="2" w:space="0" w:color="000001"/>
              <w:bottom w:val="single" w:sz="2" w:space="0" w:color="000001"/>
            </w:tcBorders>
            <w:shd w:val="clear" w:color="auto" w:fill="auto"/>
            <w:tcMar>
              <w:left w:w="51" w:type="dxa"/>
            </w:tcMar>
          </w:tcPr>
          <w:p w14:paraId="3EA52984" w14:textId="17320066" w:rsidR="00A45191" w:rsidRDefault="00A45191" w:rsidP="009A54C6">
            <w:pPr>
              <w:pStyle w:val="TableContents"/>
              <w:numPr>
                <w:ilvl w:val="1"/>
                <w:numId w:val="21"/>
              </w:numPr>
              <w:rPr>
                <w:sz w:val="18"/>
                <w:szCs w:val="18"/>
              </w:rPr>
            </w:pPr>
            <w:r>
              <w:rPr>
                <w:sz w:val="18"/>
                <w:szCs w:val="18"/>
              </w:rPr>
              <w:t>Reviewing the integration of info on labour savi</w:t>
            </w:r>
            <w:r w:rsidR="00864E27">
              <w:rPr>
                <w:sz w:val="18"/>
                <w:szCs w:val="18"/>
              </w:rPr>
              <w:t xml:space="preserve">ng devices into the campaigns </w:t>
            </w:r>
          </w:p>
        </w:tc>
        <w:tc>
          <w:tcPr>
            <w:tcW w:w="4317" w:type="dxa"/>
            <w:tcBorders>
              <w:top w:val="single" w:sz="4" w:space="0" w:color="auto"/>
              <w:left w:val="single" w:sz="2" w:space="0" w:color="000001"/>
              <w:bottom w:val="single" w:sz="2" w:space="0" w:color="000001"/>
            </w:tcBorders>
            <w:shd w:val="clear" w:color="auto" w:fill="auto"/>
            <w:tcMar>
              <w:left w:w="51" w:type="dxa"/>
            </w:tcMar>
          </w:tcPr>
          <w:p w14:paraId="434B4527" w14:textId="46DF44FF" w:rsidR="00A45191" w:rsidRDefault="00DA02D8" w:rsidP="00A45191">
            <w:pPr>
              <w:pStyle w:val="TableContents"/>
              <w:rPr>
                <w:sz w:val="18"/>
                <w:szCs w:val="18"/>
              </w:rPr>
            </w:pPr>
            <w:r>
              <w:rPr>
                <w:sz w:val="18"/>
                <w:szCs w:val="18"/>
              </w:rPr>
              <w:t>2.5.1 B</w:t>
            </w:r>
            <w:r w:rsidR="00317DBD">
              <w:rPr>
                <w:sz w:val="18"/>
                <w:szCs w:val="18"/>
              </w:rPr>
              <w:t xml:space="preserve">ased on technology review by N2Africa/ IITA </w:t>
            </w:r>
          </w:p>
          <w:p w14:paraId="761CEE57" w14:textId="77777777" w:rsidR="00A45191" w:rsidRDefault="00A45191" w:rsidP="00A45191">
            <w:pPr>
              <w:pStyle w:val="TableContents"/>
              <w:rPr>
                <w:sz w:val="18"/>
                <w:szCs w:val="18"/>
              </w:rPr>
            </w:pPr>
          </w:p>
          <w:p w14:paraId="4EF0801B" w14:textId="77777777" w:rsidR="00A45191" w:rsidRDefault="00A45191" w:rsidP="00DA02D8">
            <w:pPr>
              <w:pStyle w:val="TableContents"/>
              <w:ind w:left="420" w:hanging="420"/>
              <w:rPr>
                <w:sz w:val="18"/>
                <w:szCs w:val="18"/>
              </w:rPr>
            </w:pPr>
            <w:r>
              <w:rPr>
                <w:sz w:val="18"/>
                <w:szCs w:val="18"/>
              </w:rPr>
              <w:t xml:space="preserve">2.6.1 Review IITA enquires and product </w:t>
            </w:r>
            <w:proofErr w:type="gramStart"/>
            <w:r>
              <w:rPr>
                <w:sz w:val="18"/>
                <w:szCs w:val="18"/>
              </w:rPr>
              <w:t>development  to</w:t>
            </w:r>
            <w:proofErr w:type="gramEnd"/>
            <w:r>
              <w:rPr>
                <w:sz w:val="18"/>
                <w:szCs w:val="18"/>
              </w:rPr>
              <w:t xml:space="preserve"> see to what extent labour saving devices and approaches can reduce the burdens that fall primarily on women and young people</w:t>
            </w:r>
          </w:p>
          <w:p w14:paraId="61367FF9" w14:textId="77777777" w:rsidR="00A45191" w:rsidRDefault="00A45191" w:rsidP="00B01E30">
            <w:pPr>
              <w:pStyle w:val="TableContents"/>
              <w:rPr>
                <w:sz w:val="18"/>
                <w:szCs w:val="18"/>
              </w:rPr>
            </w:pPr>
          </w:p>
        </w:tc>
        <w:tc>
          <w:tcPr>
            <w:tcW w:w="2012" w:type="dxa"/>
            <w:tcBorders>
              <w:top w:val="single" w:sz="4" w:space="0" w:color="auto"/>
              <w:left w:val="single" w:sz="2" w:space="0" w:color="000001"/>
              <w:bottom w:val="single" w:sz="2" w:space="0" w:color="000001"/>
            </w:tcBorders>
            <w:shd w:val="clear" w:color="auto" w:fill="auto"/>
            <w:tcMar>
              <w:left w:w="51" w:type="dxa"/>
            </w:tcMar>
          </w:tcPr>
          <w:p w14:paraId="11C9D9D4" w14:textId="77777777" w:rsidR="006D048F" w:rsidRDefault="006D048F" w:rsidP="009A54C6">
            <w:pPr>
              <w:pStyle w:val="TableContents"/>
              <w:rPr>
                <w:sz w:val="18"/>
                <w:szCs w:val="18"/>
              </w:rPr>
            </w:pPr>
            <w:proofErr w:type="gramStart"/>
            <w:r>
              <w:rPr>
                <w:sz w:val="18"/>
                <w:szCs w:val="18"/>
              </w:rPr>
              <w:t>July  2016</w:t>
            </w:r>
            <w:proofErr w:type="gramEnd"/>
            <w:r>
              <w:rPr>
                <w:sz w:val="18"/>
                <w:szCs w:val="18"/>
              </w:rPr>
              <w:t xml:space="preserve"> </w:t>
            </w:r>
          </w:p>
          <w:p w14:paraId="02D85731" w14:textId="77777777" w:rsidR="00A45191" w:rsidRDefault="00A45191" w:rsidP="00257D68">
            <w:pPr>
              <w:pStyle w:val="TableContents"/>
              <w:ind w:left="720"/>
              <w:rPr>
                <w:sz w:val="18"/>
                <w:szCs w:val="18"/>
              </w:rPr>
            </w:pPr>
          </w:p>
        </w:tc>
        <w:tc>
          <w:tcPr>
            <w:tcW w:w="3859" w:type="dxa"/>
            <w:tcBorders>
              <w:top w:val="single" w:sz="4" w:space="0" w:color="auto"/>
              <w:left w:val="single" w:sz="2" w:space="0" w:color="000001"/>
              <w:bottom w:val="single" w:sz="2" w:space="0" w:color="000001"/>
              <w:right w:val="single" w:sz="2" w:space="0" w:color="000001"/>
            </w:tcBorders>
            <w:shd w:val="clear" w:color="auto" w:fill="auto"/>
            <w:tcMar>
              <w:left w:w="51" w:type="dxa"/>
            </w:tcMar>
          </w:tcPr>
          <w:p w14:paraId="40959D36" w14:textId="4077BA30" w:rsidR="00A45191" w:rsidRDefault="00317DBD" w:rsidP="009A54C6">
            <w:pPr>
              <w:pStyle w:val="TableContents"/>
              <w:rPr>
                <w:sz w:val="18"/>
                <w:szCs w:val="18"/>
              </w:rPr>
            </w:pPr>
            <w:r>
              <w:rPr>
                <w:sz w:val="18"/>
                <w:szCs w:val="18"/>
              </w:rPr>
              <w:t xml:space="preserve">IITA / N2Africa </w:t>
            </w:r>
            <w:proofErr w:type="spellStart"/>
            <w:r>
              <w:rPr>
                <w:sz w:val="18"/>
                <w:szCs w:val="18"/>
              </w:rPr>
              <w:t>experise</w:t>
            </w:r>
            <w:proofErr w:type="spellEnd"/>
            <w:r>
              <w:rPr>
                <w:sz w:val="18"/>
                <w:szCs w:val="18"/>
              </w:rPr>
              <w:t xml:space="preserve"> </w:t>
            </w:r>
          </w:p>
        </w:tc>
      </w:tr>
    </w:tbl>
    <w:p w14:paraId="46F04A28" w14:textId="77777777" w:rsidR="00257D68" w:rsidRDefault="00257D68"/>
    <w:p w14:paraId="0B59CE4E" w14:textId="77777777" w:rsidR="00257D68" w:rsidRDefault="00257D68"/>
    <w:tbl>
      <w:tblPr>
        <w:tblW w:w="5025" w:type="pct"/>
        <w:tblInd w:w="54"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600" w:firstRow="0" w:lastRow="0" w:firstColumn="0" w:lastColumn="0" w:noHBand="1" w:noVBand="1"/>
      </w:tblPr>
      <w:tblGrid>
        <w:gridCol w:w="1736"/>
        <w:gridCol w:w="2690"/>
        <w:gridCol w:w="4428"/>
        <w:gridCol w:w="1999"/>
        <w:gridCol w:w="3896"/>
      </w:tblGrid>
      <w:tr w:rsidR="001E6513" w:rsidRPr="0084776C" w14:paraId="08C409BA" w14:textId="77777777" w:rsidTr="00DA02D8">
        <w:trPr>
          <w:trHeight w:hRule="exact" w:val="2186"/>
        </w:trPr>
        <w:tc>
          <w:tcPr>
            <w:tcW w:w="1736" w:type="dxa"/>
            <w:tcBorders>
              <w:top w:val="single" w:sz="2" w:space="0" w:color="000001"/>
              <w:left w:val="single" w:sz="2" w:space="0" w:color="000001"/>
              <w:bottom w:val="single" w:sz="2" w:space="0" w:color="000001"/>
            </w:tcBorders>
            <w:shd w:val="clear" w:color="auto" w:fill="auto"/>
            <w:tcMar>
              <w:left w:w="51" w:type="dxa"/>
            </w:tcMar>
          </w:tcPr>
          <w:p w14:paraId="16FA7C74" w14:textId="77777777" w:rsidR="00CD4419" w:rsidRPr="0084776C" w:rsidRDefault="00CA751B">
            <w:pPr>
              <w:pStyle w:val="TableContents"/>
              <w:rPr>
                <w:sz w:val="18"/>
                <w:szCs w:val="18"/>
              </w:rPr>
            </w:pPr>
            <w:r w:rsidRPr="0084776C">
              <w:rPr>
                <w:sz w:val="18"/>
                <w:szCs w:val="18"/>
              </w:rPr>
              <w:lastRenderedPageBreak/>
              <w:t>3 Stakeholder engagement / influencing</w:t>
            </w:r>
          </w:p>
          <w:p w14:paraId="22852105" w14:textId="77777777" w:rsidR="00CD4419" w:rsidRPr="0084776C" w:rsidRDefault="00CD4419">
            <w:pPr>
              <w:pStyle w:val="TableContents"/>
              <w:rPr>
                <w:sz w:val="18"/>
                <w:szCs w:val="18"/>
              </w:rPr>
            </w:pPr>
          </w:p>
        </w:tc>
        <w:tc>
          <w:tcPr>
            <w:tcW w:w="2690" w:type="dxa"/>
            <w:tcBorders>
              <w:top w:val="single" w:sz="2" w:space="0" w:color="000001"/>
              <w:left w:val="single" w:sz="2" w:space="0" w:color="000001"/>
              <w:bottom w:val="single" w:sz="2" w:space="0" w:color="000001"/>
            </w:tcBorders>
            <w:shd w:val="clear" w:color="auto" w:fill="auto"/>
            <w:tcMar>
              <w:left w:w="51" w:type="dxa"/>
            </w:tcMar>
          </w:tcPr>
          <w:p w14:paraId="4D31B8EF" w14:textId="77777777" w:rsidR="00DA02D8" w:rsidRDefault="00CF11F8" w:rsidP="00DA02D8">
            <w:pPr>
              <w:pStyle w:val="TableContents"/>
              <w:ind w:left="337" w:hanging="337"/>
              <w:rPr>
                <w:sz w:val="18"/>
                <w:szCs w:val="18"/>
              </w:rPr>
            </w:pPr>
            <w:proofErr w:type="gramStart"/>
            <w:r>
              <w:rPr>
                <w:sz w:val="18"/>
                <w:szCs w:val="18"/>
              </w:rPr>
              <w:t xml:space="preserve">3.1 </w:t>
            </w:r>
            <w:r w:rsidR="00DA02D8">
              <w:rPr>
                <w:sz w:val="18"/>
                <w:szCs w:val="18"/>
              </w:rPr>
              <w:t xml:space="preserve"> </w:t>
            </w:r>
            <w:r w:rsidR="001E6513">
              <w:rPr>
                <w:sz w:val="18"/>
                <w:szCs w:val="18"/>
              </w:rPr>
              <w:t>Explore</w:t>
            </w:r>
            <w:proofErr w:type="gramEnd"/>
            <w:r w:rsidR="001E6513">
              <w:rPr>
                <w:sz w:val="18"/>
                <w:szCs w:val="18"/>
              </w:rPr>
              <w:t xml:space="preserve"> how gender issues can be incorporated into policy briefing work </w:t>
            </w:r>
          </w:p>
          <w:p w14:paraId="2B7A8E27" w14:textId="77777777" w:rsidR="00257D68" w:rsidRPr="00257D68" w:rsidRDefault="00257D68" w:rsidP="00257D68">
            <w:pPr>
              <w:pStyle w:val="TableContents"/>
              <w:ind w:left="351"/>
              <w:rPr>
                <w:sz w:val="18"/>
                <w:szCs w:val="18"/>
              </w:rPr>
            </w:pPr>
          </w:p>
          <w:p w14:paraId="68507D1A" w14:textId="46EB553C" w:rsidR="00CD4419" w:rsidRPr="0084776C" w:rsidRDefault="009E2894" w:rsidP="00DA02D8">
            <w:pPr>
              <w:pStyle w:val="TableContents"/>
              <w:ind w:left="337" w:hanging="337"/>
              <w:rPr>
                <w:sz w:val="18"/>
                <w:szCs w:val="18"/>
              </w:rPr>
            </w:pPr>
            <w:proofErr w:type="gramStart"/>
            <w:r>
              <w:rPr>
                <w:sz w:val="18"/>
                <w:szCs w:val="18"/>
              </w:rPr>
              <w:t xml:space="preserve">3.2 </w:t>
            </w:r>
            <w:r w:rsidR="00DA02D8">
              <w:rPr>
                <w:sz w:val="18"/>
                <w:szCs w:val="18"/>
              </w:rPr>
              <w:t xml:space="preserve"> </w:t>
            </w:r>
            <w:r w:rsidR="00E35E61">
              <w:rPr>
                <w:sz w:val="18"/>
                <w:szCs w:val="18"/>
              </w:rPr>
              <w:t>Explore</w:t>
            </w:r>
            <w:proofErr w:type="gramEnd"/>
            <w:r w:rsidR="00E35E61">
              <w:rPr>
                <w:sz w:val="18"/>
                <w:szCs w:val="18"/>
              </w:rPr>
              <w:t xml:space="preserve"> how gender can be incorporated into the </w:t>
            </w:r>
            <w:r w:rsidR="001E6513">
              <w:rPr>
                <w:sz w:val="18"/>
                <w:szCs w:val="18"/>
              </w:rPr>
              <w:t xml:space="preserve">training and practice notes </w:t>
            </w:r>
            <w:r w:rsidR="00E35E61">
              <w:rPr>
                <w:sz w:val="18"/>
                <w:szCs w:val="18"/>
              </w:rPr>
              <w:t>for key value chain actors(</w:t>
            </w:r>
            <w:r w:rsidR="001E6513">
              <w:rPr>
                <w:sz w:val="18"/>
                <w:szCs w:val="18"/>
              </w:rPr>
              <w:t xml:space="preserve"> also see learning section below</w:t>
            </w:r>
            <w:r w:rsidR="00E35E61">
              <w:rPr>
                <w:sz w:val="18"/>
                <w:szCs w:val="18"/>
              </w:rPr>
              <w:t>)</w:t>
            </w:r>
          </w:p>
        </w:tc>
        <w:tc>
          <w:tcPr>
            <w:tcW w:w="4428" w:type="dxa"/>
            <w:tcBorders>
              <w:top w:val="single" w:sz="2" w:space="0" w:color="000001"/>
              <w:left w:val="single" w:sz="2" w:space="0" w:color="000001"/>
              <w:bottom w:val="single" w:sz="2" w:space="0" w:color="000001"/>
            </w:tcBorders>
            <w:shd w:val="clear" w:color="auto" w:fill="auto"/>
            <w:tcMar>
              <w:left w:w="51" w:type="dxa"/>
            </w:tcMar>
          </w:tcPr>
          <w:p w14:paraId="462E1397" w14:textId="55A27A79" w:rsidR="00257D68" w:rsidRDefault="00257D68" w:rsidP="00257D68">
            <w:pPr>
              <w:pStyle w:val="TableContents"/>
              <w:rPr>
                <w:sz w:val="18"/>
                <w:szCs w:val="18"/>
              </w:rPr>
            </w:pPr>
            <w:r>
              <w:rPr>
                <w:sz w:val="18"/>
                <w:szCs w:val="18"/>
              </w:rPr>
              <w:t xml:space="preserve">3.1.1. </w:t>
            </w:r>
            <w:r w:rsidR="00304A3F">
              <w:rPr>
                <w:sz w:val="18"/>
                <w:szCs w:val="18"/>
              </w:rPr>
              <w:t xml:space="preserve">Explore policy issues associated with encouraging young farmers (CATI survey participants </w:t>
            </w:r>
            <w:proofErr w:type="gramStart"/>
            <w:r w:rsidR="009E2894">
              <w:rPr>
                <w:sz w:val="18"/>
                <w:szCs w:val="18"/>
              </w:rPr>
              <w:t>)</w:t>
            </w:r>
            <w:r w:rsidR="00304A3F">
              <w:rPr>
                <w:sz w:val="18"/>
                <w:szCs w:val="18"/>
              </w:rPr>
              <w:t>to</w:t>
            </w:r>
            <w:proofErr w:type="gramEnd"/>
            <w:r w:rsidR="00304A3F">
              <w:rPr>
                <w:sz w:val="18"/>
                <w:szCs w:val="18"/>
              </w:rPr>
              <w:t xml:space="preserve"> uptake improved legume technologies </w:t>
            </w:r>
          </w:p>
          <w:p w14:paraId="060A3EF6" w14:textId="77777777" w:rsidR="00257D68" w:rsidRDefault="00257D68" w:rsidP="00257D68">
            <w:pPr>
              <w:pStyle w:val="TableContents"/>
              <w:rPr>
                <w:sz w:val="18"/>
                <w:szCs w:val="18"/>
              </w:rPr>
            </w:pPr>
          </w:p>
          <w:p w14:paraId="521E16D8" w14:textId="77777777" w:rsidR="00257D68" w:rsidRDefault="00257D68" w:rsidP="00257D68">
            <w:pPr>
              <w:pStyle w:val="TableContents"/>
              <w:rPr>
                <w:sz w:val="18"/>
                <w:szCs w:val="18"/>
              </w:rPr>
            </w:pPr>
          </w:p>
          <w:p w14:paraId="7D4497BC" w14:textId="675F2E23" w:rsidR="009E2894" w:rsidRPr="00BB374E" w:rsidRDefault="00257D68" w:rsidP="00257D68">
            <w:pPr>
              <w:pStyle w:val="TableContents"/>
              <w:rPr>
                <w:sz w:val="18"/>
                <w:szCs w:val="18"/>
              </w:rPr>
            </w:pPr>
            <w:r>
              <w:rPr>
                <w:sz w:val="18"/>
                <w:szCs w:val="18"/>
              </w:rPr>
              <w:t xml:space="preserve">3.2.1 </w:t>
            </w:r>
            <w:r w:rsidR="009E2894">
              <w:rPr>
                <w:sz w:val="18"/>
                <w:szCs w:val="18"/>
              </w:rPr>
              <w:t xml:space="preserve">Agro-dealer training will explore how to more effectively </w:t>
            </w:r>
            <w:proofErr w:type="gramStart"/>
            <w:r w:rsidR="009E2894">
              <w:rPr>
                <w:sz w:val="18"/>
                <w:szCs w:val="18"/>
              </w:rPr>
              <w:t>serve  the</w:t>
            </w:r>
            <w:proofErr w:type="gramEnd"/>
            <w:r w:rsidR="009E2894">
              <w:rPr>
                <w:sz w:val="18"/>
                <w:szCs w:val="18"/>
              </w:rPr>
              <w:t xml:space="preserve"> input needs  of women and young farmers </w:t>
            </w:r>
          </w:p>
        </w:tc>
        <w:tc>
          <w:tcPr>
            <w:tcW w:w="1999" w:type="dxa"/>
            <w:tcBorders>
              <w:top w:val="single" w:sz="2" w:space="0" w:color="000001"/>
              <w:left w:val="single" w:sz="2" w:space="0" w:color="000001"/>
              <w:bottom w:val="single" w:sz="2" w:space="0" w:color="000001"/>
            </w:tcBorders>
            <w:shd w:val="clear" w:color="auto" w:fill="auto"/>
            <w:tcMar>
              <w:left w:w="51" w:type="dxa"/>
            </w:tcMar>
          </w:tcPr>
          <w:p w14:paraId="4B7E0507" w14:textId="05BBC4A9" w:rsidR="001E6513" w:rsidRPr="0084776C" w:rsidRDefault="001E6513" w:rsidP="00257D68">
            <w:pPr>
              <w:pStyle w:val="TableContents"/>
              <w:rPr>
                <w:sz w:val="18"/>
                <w:szCs w:val="18"/>
              </w:rPr>
            </w:pPr>
            <w:r>
              <w:rPr>
                <w:sz w:val="18"/>
                <w:szCs w:val="18"/>
              </w:rPr>
              <w:t xml:space="preserve">From July 2016 </w:t>
            </w:r>
          </w:p>
        </w:tc>
        <w:tc>
          <w:tcPr>
            <w:tcW w:w="389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A2AB4D5" w14:textId="55415896" w:rsidR="00CD4419" w:rsidRDefault="00E35E61" w:rsidP="00DA02D8">
            <w:pPr>
              <w:pStyle w:val="TableContents"/>
              <w:rPr>
                <w:sz w:val="18"/>
                <w:szCs w:val="18"/>
              </w:rPr>
            </w:pPr>
            <w:r>
              <w:rPr>
                <w:sz w:val="18"/>
                <w:szCs w:val="18"/>
              </w:rPr>
              <w:t>Research reports and p</w:t>
            </w:r>
            <w:r w:rsidR="00CF11F8">
              <w:rPr>
                <w:sz w:val="18"/>
                <w:szCs w:val="18"/>
              </w:rPr>
              <w:t xml:space="preserve">olicy briefing, </w:t>
            </w:r>
          </w:p>
          <w:p w14:paraId="136814EA" w14:textId="77777777" w:rsidR="009E2894" w:rsidRDefault="009E2894" w:rsidP="009E2894">
            <w:pPr>
              <w:pStyle w:val="TableContents"/>
              <w:ind w:left="360"/>
              <w:rPr>
                <w:sz w:val="18"/>
                <w:szCs w:val="18"/>
              </w:rPr>
            </w:pPr>
          </w:p>
          <w:p w14:paraId="1AF71E11" w14:textId="77777777" w:rsidR="009E2894" w:rsidRDefault="009E2894" w:rsidP="009E2894">
            <w:pPr>
              <w:pStyle w:val="TableContents"/>
              <w:ind w:left="360"/>
              <w:rPr>
                <w:sz w:val="18"/>
                <w:szCs w:val="18"/>
              </w:rPr>
            </w:pPr>
          </w:p>
          <w:p w14:paraId="1549297A" w14:textId="77777777" w:rsidR="009E2894" w:rsidRDefault="009E2894" w:rsidP="009E2894">
            <w:pPr>
              <w:pStyle w:val="TableContents"/>
              <w:ind w:left="360"/>
              <w:rPr>
                <w:sz w:val="18"/>
                <w:szCs w:val="18"/>
              </w:rPr>
            </w:pPr>
          </w:p>
          <w:p w14:paraId="6ADE6A33" w14:textId="77777777" w:rsidR="009E2894" w:rsidRDefault="009E2894" w:rsidP="00257D68">
            <w:pPr>
              <w:pStyle w:val="TableContents"/>
              <w:rPr>
                <w:sz w:val="18"/>
                <w:szCs w:val="18"/>
              </w:rPr>
            </w:pPr>
          </w:p>
          <w:p w14:paraId="2B003451" w14:textId="77777777" w:rsidR="009E2894" w:rsidRDefault="009E2894" w:rsidP="00DA02D8">
            <w:pPr>
              <w:pStyle w:val="TableContents"/>
              <w:rPr>
                <w:sz w:val="18"/>
                <w:szCs w:val="18"/>
              </w:rPr>
            </w:pPr>
            <w:r>
              <w:rPr>
                <w:sz w:val="18"/>
                <w:szCs w:val="18"/>
              </w:rPr>
              <w:t>Training and practical notes</w:t>
            </w:r>
          </w:p>
          <w:p w14:paraId="3C93AF97" w14:textId="44B9E7D8" w:rsidR="009E2894" w:rsidRPr="0084776C" w:rsidRDefault="009E2894" w:rsidP="009E2894">
            <w:pPr>
              <w:pStyle w:val="TableContents"/>
              <w:ind w:left="360"/>
              <w:rPr>
                <w:sz w:val="18"/>
                <w:szCs w:val="18"/>
              </w:rPr>
            </w:pPr>
          </w:p>
        </w:tc>
      </w:tr>
      <w:tr w:rsidR="006A7A62" w:rsidRPr="0084776C" w14:paraId="067AF166" w14:textId="77777777" w:rsidTr="00DA02D8">
        <w:trPr>
          <w:trHeight w:hRule="exact" w:val="1918"/>
        </w:trPr>
        <w:tc>
          <w:tcPr>
            <w:tcW w:w="1736" w:type="dxa"/>
            <w:vMerge w:val="restart"/>
            <w:tcBorders>
              <w:top w:val="single" w:sz="2" w:space="0" w:color="000001"/>
              <w:left w:val="single" w:sz="2" w:space="0" w:color="000001"/>
            </w:tcBorders>
            <w:shd w:val="clear" w:color="auto" w:fill="auto"/>
            <w:tcMar>
              <w:left w:w="51" w:type="dxa"/>
            </w:tcMar>
          </w:tcPr>
          <w:p w14:paraId="0D1C5DE6" w14:textId="77777777" w:rsidR="006A7A62" w:rsidRPr="0084776C" w:rsidRDefault="006A7A62" w:rsidP="005E4769">
            <w:pPr>
              <w:pStyle w:val="TableContents"/>
              <w:rPr>
                <w:sz w:val="18"/>
                <w:szCs w:val="18"/>
              </w:rPr>
            </w:pPr>
            <w:r w:rsidRPr="0084776C">
              <w:rPr>
                <w:sz w:val="18"/>
                <w:szCs w:val="18"/>
              </w:rPr>
              <w:t>4 Monitoring Evaluation and Learning</w:t>
            </w:r>
          </w:p>
          <w:p w14:paraId="33CA4ABF" w14:textId="77777777" w:rsidR="006A7A62" w:rsidRPr="0084776C" w:rsidRDefault="006A7A62">
            <w:pPr>
              <w:pStyle w:val="TableContents"/>
              <w:rPr>
                <w:sz w:val="18"/>
                <w:szCs w:val="18"/>
              </w:rPr>
            </w:pPr>
          </w:p>
        </w:tc>
        <w:tc>
          <w:tcPr>
            <w:tcW w:w="2690" w:type="dxa"/>
            <w:vMerge w:val="restart"/>
            <w:tcBorders>
              <w:top w:val="single" w:sz="2" w:space="0" w:color="000001"/>
              <w:left w:val="single" w:sz="2" w:space="0" w:color="000001"/>
            </w:tcBorders>
            <w:shd w:val="clear" w:color="auto" w:fill="auto"/>
            <w:tcMar>
              <w:left w:w="51" w:type="dxa"/>
            </w:tcMar>
          </w:tcPr>
          <w:p w14:paraId="144B0052" w14:textId="77777777" w:rsidR="006A7A62" w:rsidRDefault="006A7A62" w:rsidP="005E4769">
            <w:pPr>
              <w:pStyle w:val="TableContents"/>
              <w:rPr>
                <w:sz w:val="18"/>
                <w:szCs w:val="18"/>
              </w:rPr>
            </w:pPr>
            <w:r w:rsidRPr="0084776C">
              <w:rPr>
                <w:sz w:val="18"/>
                <w:szCs w:val="18"/>
              </w:rPr>
              <w:t xml:space="preserve">Better embed gender in the output and outcome indicators </w:t>
            </w:r>
            <w:r>
              <w:rPr>
                <w:sz w:val="18"/>
                <w:szCs w:val="18"/>
              </w:rPr>
              <w:t xml:space="preserve">and ensuring that a gender lens is applied to the packaged lessons shared with the </w:t>
            </w:r>
            <w:proofErr w:type="spellStart"/>
            <w:r>
              <w:rPr>
                <w:sz w:val="18"/>
                <w:szCs w:val="18"/>
              </w:rPr>
              <w:t>Dev</w:t>
            </w:r>
            <w:proofErr w:type="spellEnd"/>
            <w:r>
              <w:rPr>
                <w:sz w:val="18"/>
                <w:szCs w:val="18"/>
              </w:rPr>
              <w:t xml:space="preserve"> Coms and research community </w:t>
            </w:r>
          </w:p>
          <w:p w14:paraId="1C58135F" w14:textId="77777777" w:rsidR="006A7A62" w:rsidRDefault="006A7A62" w:rsidP="005E4769">
            <w:pPr>
              <w:pStyle w:val="TableContents"/>
              <w:rPr>
                <w:sz w:val="18"/>
                <w:szCs w:val="18"/>
              </w:rPr>
            </w:pPr>
          </w:p>
          <w:p w14:paraId="72A2445F" w14:textId="79EBE538" w:rsidR="006A7A62" w:rsidRPr="00DA02D8" w:rsidRDefault="006A7A62" w:rsidP="00DA02D8">
            <w:pPr>
              <w:pStyle w:val="TableContents"/>
              <w:rPr>
                <w:sz w:val="18"/>
                <w:szCs w:val="18"/>
              </w:rPr>
            </w:pPr>
            <w:r w:rsidRPr="00DA02D8">
              <w:rPr>
                <w:sz w:val="18"/>
                <w:szCs w:val="18"/>
              </w:rPr>
              <w:t xml:space="preserve">Feeding into the period </w:t>
            </w:r>
            <w:proofErr w:type="gramStart"/>
            <w:r w:rsidRPr="00DA02D8">
              <w:rPr>
                <w:sz w:val="18"/>
                <w:szCs w:val="18"/>
              </w:rPr>
              <w:t>project  partners</w:t>
            </w:r>
            <w:proofErr w:type="gramEnd"/>
            <w:r w:rsidRPr="00DA02D8">
              <w:rPr>
                <w:sz w:val="18"/>
                <w:szCs w:val="18"/>
              </w:rPr>
              <w:t xml:space="preserve"> meetings to improve impact</w:t>
            </w:r>
          </w:p>
        </w:tc>
        <w:tc>
          <w:tcPr>
            <w:tcW w:w="4428" w:type="dxa"/>
            <w:tcBorders>
              <w:top w:val="single" w:sz="2" w:space="0" w:color="000001"/>
              <w:left w:val="single" w:sz="2" w:space="0" w:color="000001"/>
              <w:bottom w:val="single" w:sz="2" w:space="0" w:color="000001"/>
            </w:tcBorders>
            <w:shd w:val="clear" w:color="auto" w:fill="auto"/>
            <w:tcMar>
              <w:left w:w="51" w:type="dxa"/>
            </w:tcMar>
          </w:tcPr>
          <w:p w14:paraId="7595717B" w14:textId="77777777" w:rsidR="006A7A62" w:rsidRDefault="006A7A62" w:rsidP="00DA02D8">
            <w:pPr>
              <w:pStyle w:val="TableContents"/>
              <w:rPr>
                <w:sz w:val="18"/>
                <w:szCs w:val="18"/>
              </w:rPr>
            </w:pPr>
            <w:r>
              <w:rPr>
                <w:sz w:val="18"/>
                <w:szCs w:val="18"/>
              </w:rPr>
              <w:t xml:space="preserve">See section 1 </w:t>
            </w:r>
            <w:proofErr w:type="gramStart"/>
            <w:r>
              <w:rPr>
                <w:sz w:val="18"/>
                <w:szCs w:val="18"/>
              </w:rPr>
              <w:t>above :</w:t>
            </w:r>
            <w:proofErr w:type="gramEnd"/>
            <w:r>
              <w:rPr>
                <w:sz w:val="18"/>
                <w:szCs w:val="18"/>
              </w:rPr>
              <w:t xml:space="preserve"> </w:t>
            </w:r>
          </w:p>
          <w:p w14:paraId="012F6B7B" w14:textId="77777777" w:rsidR="006A7A62" w:rsidRDefault="006A7A62" w:rsidP="00DA02D8">
            <w:pPr>
              <w:pStyle w:val="TableContents"/>
              <w:rPr>
                <w:sz w:val="18"/>
                <w:szCs w:val="18"/>
              </w:rPr>
            </w:pPr>
            <w:r>
              <w:rPr>
                <w:b/>
                <w:sz w:val="18"/>
                <w:szCs w:val="18"/>
              </w:rPr>
              <w:t xml:space="preserve">4.1.2 </w:t>
            </w:r>
            <w:r w:rsidRPr="004E069F">
              <w:rPr>
                <w:b/>
                <w:sz w:val="18"/>
                <w:szCs w:val="18"/>
              </w:rPr>
              <w:t>Listen</w:t>
            </w:r>
            <w:r>
              <w:rPr>
                <w:b/>
                <w:sz w:val="18"/>
                <w:szCs w:val="18"/>
              </w:rPr>
              <w:t>ing</w:t>
            </w:r>
            <w:r w:rsidRPr="004E069F">
              <w:rPr>
                <w:b/>
                <w:sz w:val="18"/>
                <w:szCs w:val="18"/>
              </w:rPr>
              <w:t xml:space="preserve"> Groups</w:t>
            </w:r>
            <w:r>
              <w:rPr>
                <w:sz w:val="18"/>
                <w:szCs w:val="18"/>
              </w:rPr>
              <w:t xml:space="preserve"> will be established for all upcoming radio campaigns –these are panels that feedback on the content and style of the program.  Different gender compositions will be explored – men-only, women-only, youth-only and family groupings.</w:t>
            </w:r>
          </w:p>
          <w:p w14:paraId="5625D92F" w14:textId="77777777" w:rsidR="006A7A62" w:rsidRDefault="006A7A62" w:rsidP="00257D68">
            <w:pPr>
              <w:pStyle w:val="TableContents"/>
              <w:rPr>
                <w:sz w:val="18"/>
                <w:szCs w:val="18"/>
              </w:rPr>
            </w:pPr>
          </w:p>
        </w:tc>
        <w:tc>
          <w:tcPr>
            <w:tcW w:w="1999" w:type="dxa"/>
            <w:tcBorders>
              <w:top w:val="single" w:sz="2" w:space="0" w:color="000001"/>
              <w:left w:val="single" w:sz="2" w:space="0" w:color="000001"/>
              <w:bottom w:val="single" w:sz="2" w:space="0" w:color="000001"/>
            </w:tcBorders>
            <w:shd w:val="clear" w:color="auto" w:fill="auto"/>
            <w:tcMar>
              <w:left w:w="51" w:type="dxa"/>
            </w:tcMar>
          </w:tcPr>
          <w:p w14:paraId="790AA90E" w14:textId="77777777" w:rsidR="006A7A62" w:rsidRDefault="006A7A62" w:rsidP="00DA02D8">
            <w:pPr>
              <w:pStyle w:val="TableContents"/>
              <w:rPr>
                <w:sz w:val="18"/>
                <w:szCs w:val="18"/>
              </w:rPr>
            </w:pPr>
            <w:r>
              <w:rPr>
                <w:sz w:val="18"/>
                <w:szCs w:val="18"/>
              </w:rPr>
              <w:t xml:space="preserve">From October 2016 </w:t>
            </w:r>
          </w:p>
          <w:p w14:paraId="0509D6D7" w14:textId="77777777" w:rsidR="006A7A62" w:rsidRDefault="006A7A62" w:rsidP="00257D68">
            <w:pPr>
              <w:pStyle w:val="TableContents"/>
              <w:rPr>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D5CF35F" w14:textId="77777777" w:rsidR="006A7A62" w:rsidRDefault="006A7A62" w:rsidP="00DA02D8">
            <w:pPr>
              <w:pStyle w:val="TableContents"/>
              <w:rPr>
                <w:sz w:val="18"/>
                <w:szCs w:val="18"/>
              </w:rPr>
            </w:pPr>
            <w:r>
              <w:rPr>
                <w:sz w:val="18"/>
                <w:szCs w:val="18"/>
              </w:rPr>
              <w:t xml:space="preserve">Theory of change </w:t>
            </w:r>
          </w:p>
          <w:p w14:paraId="21F17D1F" w14:textId="77777777" w:rsidR="006A7A62" w:rsidRDefault="006A7A62" w:rsidP="00DA02D8">
            <w:pPr>
              <w:pStyle w:val="TableContents"/>
              <w:rPr>
                <w:sz w:val="18"/>
                <w:szCs w:val="18"/>
              </w:rPr>
            </w:pPr>
            <w:r>
              <w:rPr>
                <w:sz w:val="18"/>
                <w:szCs w:val="18"/>
              </w:rPr>
              <w:t>Listening groups</w:t>
            </w:r>
          </w:p>
          <w:p w14:paraId="6583A5C2" w14:textId="77777777" w:rsidR="006A7A62" w:rsidRDefault="006A7A62" w:rsidP="00DA02D8">
            <w:pPr>
              <w:pStyle w:val="TableContents"/>
              <w:rPr>
                <w:sz w:val="18"/>
                <w:szCs w:val="18"/>
              </w:rPr>
            </w:pPr>
          </w:p>
        </w:tc>
      </w:tr>
      <w:tr w:rsidR="006A7A62" w:rsidRPr="0084776C" w14:paraId="7CF70F41" w14:textId="77777777" w:rsidTr="00DA02D8">
        <w:trPr>
          <w:trHeight w:hRule="exact" w:val="2611"/>
        </w:trPr>
        <w:tc>
          <w:tcPr>
            <w:tcW w:w="1736" w:type="dxa"/>
            <w:vMerge/>
            <w:tcBorders>
              <w:left w:val="single" w:sz="2" w:space="0" w:color="000001"/>
            </w:tcBorders>
            <w:shd w:val="clear" w:color="auto" w:fill="auto"/>
            <w:tcMar>
              <w:left w:w="51" w:type="dxa"/>
            </w:tcMar>
          </w:tcPr>
          <w:p w14:paraId="72C4CA6E" w14:textId="77777777" w:rsidR="006A7A62" w:rsidRPr="0084776C" w:rsidRDefault="006A7A62" w:rsidP="00DA02D8">
            <w:pPr>
              <w:pStyle w:val="TableContents"/>
              <w:rPr>
                <w:sz w:val="18"/>
                <w:szCs w:val="18"/>
              </w:rPr>
            </w:pPr>
          </w:p>
        </w:tc>
        <w:tc>
          <w:tcPr>
            <w:tcW w:w="2690" w:type="dxa"/>
            <w:vMerge/>
            <w:tcBorders>
              <w:left w:val="single" w:sz="2" w:space="0" w:color="000001"/>
            </w:tcBorders>
            <w:shd w:val="clear" w:color="auto" w:fill="auto"/>
            <w:tcMar>
              <w:left w:w="51" w:type="dxa"/>
            </w:tcMar>
          </w:tcPr>
          <w:p w14:paraId="0296C358" w14:textId="77777777" w:rsidR="006A7A62" w:rsidRPr="0084776C" w:rsidRDefault="006A7A62" w:rsidP="00DA02D8">
            <w:pPr>
              <w:pStyle w:val="TableContents"/>
              <w:rPr>
                <w:sz w:val="18"/>
                <w:szCs w:val="18"/>
              </w:rPr>
            </w:pPr>
          </w:p>
        </w:tc>
        <w:tc>
          <w:tcPr>
            <w:tcW w:w="4428" w:type="dxa"/>
            <w:tcBorders>
              <w:top w:val="single" w:sz="2" w:space="0" w:color="000001"/>
              <w:left w:val="single" w:sz="2" w:space="0" w:color="000001"/>
              <w:bottom w:val="single" w:sz="2" w:space="0" w:color="000001"/>
            </w:tcBorders>
            <w:shd w:val="clear" w:color="auto" w:fill="auto"/>
            <w:tcMar>
              <w:left w:w="51" w:type="dxa"/>
            </w:tcMar>
          </w:tcPr>
          <w:p w14:paraId="7FFA078F" w14:textId="77777777" w:rsidR="006A7A62" w:rsidRPr="00715988" w:rsidRDefault="006A7A62" w:rsidP="00DA02D8">
            <w:pPr>
              <w:pStyle w:val="TableContents"/>
              <w:rPr>
                <w:b/>
                <w:sz w:val="18"/>
                <w:szCs w:val="18"/>
              </w:rPr>
            </w:pPr>
            <w:r w:rsidRPr="00715988">
              <w:rPr>
                <w:b/>
                <w:sz w:val="18"/>
                <w:szCs w:val="18"/>
              </w:rPr>
              <w:t xml:space="preserve">4.2 Evaluation </w:t>
            </w:r>
          </w:p>
          <w:p w14:paraId="3600FF5F" w14:textId="77777777" w:rsidR="006A7A62" w:rsidRDefault="006A7A62" w:rsidP="00DA02D8">
            <w:pPr>
              <w:pStyle w:val="TableContents"/>
              <w:rPr>
                <w:sz w:val="18"/>
                <w:szCs w:val="18"/>
              </w:rPr>
            </w:pPr>
            <w:r>
              <w:rPr>
                <w:sz w:val="18"/>
                <w:szCs w:val="18"/>
              </w:rPr>
              <w:t xml:space="preserve">4.2.1 impact assessment of campaign will be done on the way to capture gender disaggregated information  </w:t>
            </w:r>
          </w:p>
          <w:p w14:paraId="5F51B441" w14:textId="77777777" w:rsidR="006A7A62" w:rsidRDefault="006A7A62" w:rsidP="00DA02D8">
            <w:pPr>
              <w:pStyle w:val="TableContents"/>
              <w:rPr>
                <w:sz w:val="18"/>
                <w:szCs w:val="18"/>
              </w:rPr>
            </w:pPr>
          </w:p>
          <w:p w14:paraId="6CD0B14D" w14:textId="5C0FC7A6" w:rsidR="006A7A62" w:rsidRDefault="006A7A62" w:rsidP="00257D68">
            <w:pPr>
              <w:pStyle w:val="TableContents"/>
              <w:rPr>
                <w:sz w:val="18"/>
                <w:szCs w:val="18"/>
              </w:rPr>
            </w:pPr>
            <w:r>
              <w:rPr>
                <w:sz w:val="18"/>
                <w:szCs w:val="18"/>
              </w:rPr>
              <w:t xml:space="preserve">4.2.2 </w:t>
            </w:r>
            <w:r w:rsidRPr="00E36B9A">
              <w:rPr>
                <w:sz w:val="18"/>
                <w:szCs w:val="18"/>
              </w:rPr>
              <w:t>Defining appropriate gender- related outcomes and indicators</w:t>
            </w:r>
            <w:r>
              <w:rPr>
                <w:sz w:val="18"/>
                <w:szCs w:val="18"/>
              </w:rPr>
              <w:t xml:space="preserve"> or applying a gender lens to all our outcomes and indicators – understanding what women’s /youth empowerment could be linked to campaign approach – such as participation in decision-making and barriers to accessing improved legume technologies reducing </w:t>
            </w:r>
          </w:p>
        </w:tc>
        <w:tc>
          <w:tcPr>
            <w:tcW w:w="1999" w:type="dxa"/>
            <w:tcBorders>
              <w:top w:val="single" w:sz="2" w:space="0" w:color="000001"/>
              <w:left w:val="single" w:sz="2" w:space="0" w:color="000001"/>
              <w:bottom w:val="single" w:sz="2" w:space="0" w:color="000001"/>
            </w:tcBorders>
            <w:shd w:val="clear" w:color="auto" w:fill="auto"/>
            <w:tcMar>
              <w:left w:w="51" w:type="dxa"/>
            </w:tcMar>
          </w:tcPr>
          <w:p w14:paraId="287CDC92" w14:textId="77777777" w:rsidR="006A7A62" w:rsidRDefault="006A7A62" w:rsidP="00DA02D8">
            <w:pPr>
              <w:pStyle w:val="TableContents"/>
              <w:rPr>
                <w:sz w:val="18"/>
                <w:szCs w:val="18"/>
              </w:rPr>
            </w:pPr>
            <w:r>
              <w:rPr>
                <w:sz w:val="18"/>
                <w:szCs w:val="18"/>
              </w:rPr>
              <w:t xml:space="preserve">From January 2017 </w:t>
            </w:r>
          </w:p>
          <w:p w14:paraId="1D2EC8DE" w14:textId="77777777" w:rsidR="006A7A62" w:rsidRDefault="006A7A62" w:rsidP="00DA02D8">
            <w:pPr>
              <w:pStyle w:val="TableContents"/>
              <w:rPr>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6DCBACD" w14:textId="2CD03946" w:rsidR="006A7A62" w:rsidRDefault="0037212C" w:rsidP="00DA02D8">
            <w:pPr>
              <w:pStyle w:val="TableContents"/>
              <w:rPr>
                <w:sz w:val="18"/>
                <w:szCs w:val="18"/>
              </w:rPr>
            </w:pPr>
            <w:r w:rsidRPr="00257D68">
              <w:rPr>
                <w:sz w:val="18"/>
                <w:szCs w:val="18"/>
              </w:rPr>
              <w:t>Report, policy brief, papers, blogs, newsletters</w:t>
            </w:r>
          </w:p>
        </w:tc>
      </w:tr>
      <w:tr w:rsidR="006A7A62" w:rsidRPr="0084776C" w14:paraId="229CA48D" w14:textId="77777777" w:rsidTr="00DA02D8">
        <w:trPr>
          <w:trHeight w:hRule="exact" w:val="2611"/>
        </w:trPr>
        <w:tc>
          <w:tcPr>
            <w:tcW w:w="1736" w:type="dxa"/>
            <w:vMerge/>
            <w:tcBorders>
              <w:left w:val="single" w:sz="2" w:space="0" w:color="000001"/>
              <w:bottom w:val="single" w:sz="2" w:space="0" w:color="000001"/>
            </w:tcBorders>
            <w:shd w:val="clear" w:color="auto" w:fill="auto"/>
            <w:tcMar>
              <w:left w:w="51" w:type="dxa"/>
            </w:tcMar>
          </w:tcPr>
          <w:p w14:paraId="1F8B611E" w14:textId="77777777" w:rsidR="006A7A62" w:rsidRPr="0084776C" w:rsidRDefault="006A7A62" w:rsidP="00DA02D8">
            <w:pPr>
              <w:pStyle w:val="TableContents"/>
              <w:rPr>
                <w:sz w:val="18"/>
                <w:szCs w:val="18"/>
              </w:rPr>
            </w:pPr>
          </w:p>
        </w:tc>
        <w:tc>
          <w:tcPr>
            <w:tcW w:w="2690" w:type="dxa"/>
            <w:vMerge/>
            <w:tcBorders>
              <w:left w:val="single" w:sz="2" w:space="0" w:color="000001"/>
              <w:bottom w:val="single" w:sz="2" w:space="0" w:color="000001"/>
            </w:tcBorders>
            <w:shd w:val="clear" w:color="auto" w:fill="auto"/>
            <w:tcMar>
              <w:left w:w="51" w:type="dxa"/>
            </w:tcMar>
          </w:tcPr>
          <w:p w14:paraId="41198807" w14:textId="77777777" w:rsidR="006A7A62" w:rsidRPr="0084776C" w:rsidRDefault="006A7A62" w:rsidP="00DA02D8">
            <w:pPr>
              <w:pStyle w:val="TableContents"/>
              <w:rPr>
                <w:sz w:val="18"/>
                <w:szCs w:val="18"/>
              </w:rPr>
            </w:pPr>
          </w:p>
        </w:tc>
        <w:tc>
          <w:tcPr>
            <w:tcW w:w="4428" w:type="dxa"/>
            <w:tcBorders>
              <w:top w:val="single" w:sz="2" w:space="0" w:color="000001"/>
              <w:left w:val="single" w:sz="2" w:space="0" w:color="000001"/>
              <w:bottom w:val="single" w:sz="2" w:space="0" w:color="000001"/>
            </w:tcBorders>
            <w:shd w:val="clear" w:color="auto" w:fill="auto"/>
            <w:tcMar>
              <w:left w:w="51" w:type="dxa"/>
            </w:tcMar>
          </w:tcPr>
          <w:p w14:paraId="630D03D4" w14:textId="5C6CB79B" w:rsidR="006A7A62" w:rsidRPr="00715988" w:rsidRDefault="006A7A62" w:rsidP="006A7A62">
            <w:pPr>
              <w:pStyle w:val="TableContents"/>
              <w:rPr>
                <w:b/>
                <w:sz w:val="18"/>
                <w:szCs w:val="18"/>
              </w:rPr>
            </w:pPr>
            <w:r>
              <w:rPr>
                <w:b/>
                <w:sz w:val="18"/>
                <w:szCs w:val="18"/>
              </w:rPr>
              <w:t>4</w:t>
            </w:r>
            <w:r w:rsidRPr="00715988">
              <w:rPr>
                <w:b/>
                <w:sz w:val="18"/>
                <w:szCs w:val="18"/>
              </w:rPr>
              <w:t xml:space="preserve">.3 Learning </w:t>
            </w:r>
          </w:p>
          <w:p w14:paraId="0558C42B" w14:textId="77777777" w:rsidR="006A7A62" w:rsidRDefault="006A7A62" w:rsidP="006A7A62">
            <w:pPr>
              <w:pStyle w:val="TableContents"/>
              <w:rPr>
                <w:sz w:val="18"/>
                <w:szCs w:val="18"/>
              </w:rPr>
            </w:pPr>
            <w:r>
              <w:rPr>
                <w:sz w:val="18"/>
                <w:szCs w:val="18"/>
              </w:rPr>
              <w:t xml:space="preserve">4.3.1 Lessons will be packaged as data is analysed – this will reflect challenges and successes of achieving the fully engendered campaign devised by the partners </w:t>
            </w:r>
          </w:p>
          <w:p w14:paraId="396A6B88" w14:textId="77777777" w:rsidR="006A7A62" w:rsidRDefault="006A7A62" w:rsidP="006A7A62">
            <w:pPr>
              <w:pStyle w:val="TableContents"/>
              <w:rPr>
                <w:sz w:val="18"/>
                <w:szCs w:val="18"/>
              </w:rPr>
            </w:pPr>
            <w:r>
              <w:rPr>
                <w:sz w:val="18"/>
                <w:szCs w:val="18"/>
              </w:rPr>
              <w:t>4.3.2 Media production guides will specifically feature any gender lessons to help other to produce fully engendered campaigns – e.g. targeting youth, women, low-literacy and resource poor farmers – these will guide the SILT teams working on the development of new and revised scale-up material</w:t>
            </w:r>
          </w:p>
          <w:p w14:paraId="42AC05F1" w14:textId="77777777" w:rsidR="006A7A62" w:rsidRDefault="006A7A62" w:rsidP="006A7A62">
            <w:pPr>
              <w:pStyle w:val="TableContents"/>
              <w:rPr>
                <w:sz w:val="18"/>
                <w:szCs w:val="18"/>
              </w:rPr>
            </w:pPr>
          </w:p>
          <w:p w14:paraId="0B843D01" w14:textId="77777777" w:rsidR="006A7A62" w:rsidRPr="00715988" w:rsidRDefault="006A7A62" w:rsidP="00DA02D8">
            <w:pPr>
              <w:pStyle w:val="TableContents"/>
              <w:rPr>
                <w:b/>
                <w:sz w:val="18"/>
                <w:szCs w:val="18"/>
              </w:rPr>
            </w:pPr>
          </w:p>
        </w:tc>
        <w:tc>
          <w:tcPr>
            <w:tcW w:w="1999" w:type="dxa"/>
            <w:tcBorders>
              <w:top w:val="single" w:sz="2" w:space="0" w:color="000001"/>
              <w:left w:val="single" w:sz="2" w:space="0" w:color="000001"/>
              <w:bottom w:val="single" w:sz="2" w:space="0" w:color="000001"/>
            </w:tcBorders>
            <w:shd w:val="clear" w:color="auto" w:fill="auto"/>
            <w:tcMar>
              <w:left w:w="51" w:type="dxa"/>
            </w:tcMar>
          </w:tcPr>
          <w:p w14:paraId="302F0FE2" w14:textId="77777777" w:rsidR="006A7A62" w:rsidRDefault="006A7A62" w:rsidP="006A7A62">
            <w:pPr>
              <w:pStyle w:val="TableContents"/>
              <w:rPr>
                <w:sz w:val="18"/>
                <w:szCs w:val="18"/>
              </w:rPr>
            </w:pPr>
            <w:r>
              <w:rPr>
                <w:sz w:val="18"/>
                <w:szCs w:val="18"/>
              </w:rPr>
              <w:t xml:space="preserve">From June 2017 </w:t>
            </w:r>
          </w:p>
          <w:p w14:paraId="6B24F546" w14:textId="77777777" w:rsidR="006A7A62" w:rsidRDefault="006A7A62" w:rsidP="00DA02D8">
            <w:pPr>
              <w:pStyle w:val="TableContents"/>
              <w:rPr>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E27B30" w14:textId="4B320094" w:rsidR="006A7A62" w:rsidRDefault="0037212C" w:rsidP="00DA02D8">
            <w:pPr>
              <w:pStyle w:val="TableContents"/>
              <w:rPr>
                <w:sz w:val="18"/>
                <w:szCs w:val="18"/>
              </w:rPr>
            </w:pPr>
            <w:r w:rsidRPr="00257D68">
              <w:rPr>
                <w:sz w:val="18"/>
                <w:szCs w:val="18"/>
              </w:rPr>
              <w:t>Report, policy brief, papers, blogs, newsletters</w:t>
            </w:r>
          </w:p>
        </w:tc>
      </w:tr>
      <w:tr w:rsidR="006A7A62" w:rsidRPr="0084776C" w14:paraId="661F49F6" w14:textId="77777777" w:rsidTr="006A7A62">
        <w:trPr>
          <w:trHeight w:val="2491"/>
        </w:trPr>
        <w:tc>
          <w:tcPr>
            <w:tcW w:w="1736" w:type="dxa"/>
            <w:tcBorders>
              <w:top w:val="single" w:sz="2" w:space="0" w:color="000001"/>
              <w:left w:val="single" w:sz="2" w:space="0" w:color="000001"/>
            </w:tcBorders>
            <w:shd w:val="clear" w:color="auto" w:fill="auto"/>
            <w:tcMar>
              <w:left w:w="51" w:type="dxa"/>
            </w:tcMar>
          </w:tcPr>
          <w:p w14:paraId="076F7188" w14:textId="314E1FE9" w:rsidR="006A7A62" w:rsidRPr="0084776C" w:rsidRDefault="006A7A62" w:rsidP="005E4769">
            <w:pPr>
              <w:pStyle w:val="TableContents"/>
              <w:rPr>
                <w:sz w:val="18"/>
                <w:szCs w:val="18"/>
              </w:rPr>
            </w:pPr>
            <w:r w:rsidRPr="0084776C">
              <w:rPr>
                <w:sz w:val="18"/>
                <w:szCs w:val="18"/>
              </w:rPr>
              <w:lastRenderedPageBreak/>
              <w:t>4 Monitoring Evaluation and Learning</w:t>
            </w:r>
            <w:r>
              <w:rPr>
                <w:sz w:val="18"/>
                <w:szCs w:val="18"/>
              </w:rPr>
              <w:t xml:space="preserve"> (</w:t>
            </w:r>
            <w:proofErr w:type="spellStart"/>
            <w:r>
              <w:rPr>
                <w:sz w:val="18"/>
                <w:szCs w:val="18"/>
              </w:rPr>
              <w:t>cont</w:t>
            </w:r>
            <w:proofErr w:type="spellEnd"/>
            <w:r>
              <w:rPr>
                <w:sz w:val="18"/>
                <w:szCs w:val="18"/>
              </w:rPr>
              <w:t xml:space="preserve">) </w:t>
            </w:r>
          </w:p>
          <w:p w14:paraId="1F9DF555" w14:textId="77777777" w:rsidR="006A7A62" w:rsidRPr="0084776C" w:rsidRDefault="006A7A62" w:rsidP="00160988">
            <w:pPr>
              <w:pStyle w:val="TableContents"/>
              <w:rPr>
                <w:sz w:val="18"/>
                <w:szCs w:val="18"/>
              </w:rPr>
            </w:pPr>
          </w:p>
        </w:tc>
        <w:tc>
          <w:tcPr>
            <w:tcW w:w="2690" w:type="dxa"/>
            <w:tcBorders>
              <w:top w:val="single" w:sz="2" w:space="0" w:color="000001"/>
              <w:left w:val="single" w:sz="2" w:space="0" w:color="000001"/>
            </w:tcBorders>
            <w:shd w:val="clear" w:color="auto" w:fill="auto"/>
            <w:tcMar>
              <w:left w:w="51" w:type="dxa"/>
            </w:tcMar>
          </w:tcPr>
          <w:p w14:paraId="5963142B" w14:textId="77777777" w:rsidR="006A7A62" w:rsidRDefault="006A7A62" w:rsidP="005E4769">
            <w:pPr>
              <w:pStyle w:val="TableContents"/>
              <w:rPr>
                <w:sz w:val="18"/>
                <w:szCs w:val="18"/>
              </w:rPr>
            </w:pPr>
            <w:r w:rsidRPr="0084776C">
              <w:rPr>
                <w:sz w:val="18"/>
                <w:szCs w:val="18"/>
              </w:rPr>
              <w:t xml:space="preserve">Better embed gender in the output and outcome indicators </w:t>
            </w:r>
            <w:r>
              <w:rPr>
                <w:sz w:val="18"/>
                <w:szCs w:val="18"/>
              </w:rPr>
              <w:t xml:space="preserve">and ensuring that a gender lens is applied to the packaged lessons shared with the </w:t>
            </w:r>
            <w:proofErr w:type="spellStart"/>
            <w:r>
              <w:rPr>
                <w:sz w:val="18"/>
                <w:szCs w:val="18"/>
              </w:rPr>
              <w:t>Dev</w:t>
            </w:r>
            <w:proofErr w:type="spellEnd"/>
            <w:r>
              <w:rPr>
                <w:sz w:val="18"/>
                <w:szCs w:val="18"/>
              </w:rPr>
              <w:t xml:space="preserve"> Coms and research community </w:t>
            </w:r>
          </w:p>
          <w:p w14:paraId="4909A471" w14:textId="77777777" w:rsidR="006A7A62" w:rsidRDefault="006A7A62" w:rsidP="005E4769">
            <w:pPr>
              <w:pStyle w:val="TableContents"/>
              <w:rPr>
                <w:sz w:val="18"/>
                <w:szCs w:val="18"/>
              </w:rPr>
            </w:pPr>
          </w:p>
          <w:p w14:paraId="09D98477" w14:textId="1386775B" w:rsidR="006A7A62" w:rsidRPr="0084776C" w:rsidRDefault="006A7A62" w:rsidP="006A7A62">
            <w:pPr>
              <w:pStyle w:val="TableContents"/>
              <w:rPr>
                <w:sz w:val="18"/>
                <w:szCs w:val="18"/>
              </w:rPr>
            </w:pPr>
            <w:r>
              <w:rPr>
                <w:sz w:val="18"/>
                <w:szCs w:val="18"/>
              </w:rPr>
              <w:t>F</w:t>
            </w:r>
            <w:r w:rsidRPr="00DA02D8">
              <w:rPr>
                <w:sz w:val="18"/>
                <w:szCs w:val="18"/>
              </w:rPr>
              <w:t xml:space="preserve">eeding into the period </w:t>
            </w:r>
            <w:proofErr w:type="gramStart"/>
            <w:r w:rsidRPr="00DA02D8">
              <w:rPr>
                <w:sz w:val="18"/>
                <w:szCs w:val="18"/>
              </w:rPr>
              <w:t>project  partners</w:t>
            </w:r>
            <w:proofErr w:type="gramEnd"/>
            <w:r w:rsidRPr="00DA02D8">
              <w:rPr>
                <w:sz w:val="18"/>
                <w:szCs w:val="18"/>
              </w:rPr>
              <w:t xml:space="preserve"> meetings to improve impact</w:t>
            </w:r>
          </w:p>
        </w:tc>
        <w:tc>
          <w:tcPr>
            <w:tcW w:w="4428" w:type="dxa"/>
            <w:tcBorders>
              <w:top w:val="single" w:sz="2" w:space="0" w:color="000001"/>
              <w:left w:val="single" w:sz="2" w:space="0" w:color="000001"/>
            </w:tcBorders>
            <w:shd w:val="clear" w:color="auto" w:fill="auto"/>
            <w:tcMar>
              <w:left w:w="51" w:type="dxa"/>
            </w:tcMar>
          </w:tcPr>
          <w:p w14:paraId="7A415F8A" w14:textId="16A38D5F" w:rsidR="0037212C" w:rsidRDefault="0037212C" w:rsidP="00A45191">
            <w:pPr>
              <w:pStyle w:val="TableContents"/>
              <w:rPr>
                <w:b/>
                <w:sz w:val="18"/>
                <w:szCs w:val="18"/>
              </w:rPr>
            </w:pPr>
            <w:r>
              <w:rPr>
                <w:b/>
                <w:sz w:val="18"/>
                <w:szCs w:val="18"/>
              </w:rPr>
              <w:t>4</w:t>
            </w:r>
            <w:r w:rsidRPr="00715988">
              <w:rPr>
                <w:b/>
                <w:sz w:val="18"/>
                <w:szCs w:val="18"/>
              </w:rPr>
              <w:t xml:space="preserve">.3 Learning </w:t>
            </w:r>
            <w:r>
              <w:rPr>
                <w:b/>
                <w:sz w:val="18"/>
                <w:szCs w:val="18"/>
              </w:rPr>
              <w:t>(</w:t>
            </w:r>
            <w:proofErr w:type="spellStart"/>
            <w:r>
              <w:rPr>
                <w:b/>
                <w:sz w:val="18"/>
                <w:szCs w:val="18"/>
              </w:rPr>
              <w:t>cont</w:t>
            </w:r>
            <w:proofErr w:type="spellEnd"/>
            <w:r>
              <w:rPr>
                <w:b/>
                <w:sz w:val="18"/>
                <w:szCs w:val="18"/>
              </w:rPr>
              <w:t xml:space="preserve">) </w:t>
            </w:r>
          </w:p>
          <w:p w14:paraId="2CA8053A" w14:textId="38FB2ABE" w:rsidR="006A7A62" w:rsidRDefault="006A7A62" w:rsidP="00A45191">
            <w:pPr>
              <w:pStyle w:val="TableContents"/>
              <w:rPr>
                <w:sz w:val="18"/>
                <w:szCs w:val="18"/>
              </w:rPr>
            </w:pPr>
            <w:r>
              <w:rPr>
                <w:sz w:val="18"/>
                <w:szCs w:val="18"/>
              </w:rPr>
              <w:t>4.3.3 Include gender lessons/</w:t>
            </w:r>
            <w:proofErr w:type="gramStart"/>
            <w:r>
              <w:rPr>
                <w:sz w:val="18"/>
                <w:szCs w:val="18"/>
              </w:rPr>
              <w:t>issues  in</w:t>
            </w:r>
            <w:proofErr w:type="gramEnd"/>
            <w:r>
              <w:rPr>
                <w:sz w:val="18"/>
                <w:szCs w:val="18"/>
              </w:rPr>
              <w:t xml:space="preserve"> blog and newsletters </w:t>
            </w:r>
          </w:p>
          <w:p w14:paraId="71146388" w14:textId="77777777" w:rsidR="006A7A62" w:rsidRDefault="006A7A62" w:rsidP="00A45191">
            <w:pPr>
              <w:pStyle w:val="TableContents"/>
              <w:rPr>
                <w:sz w:val="18"/>
                <w:szCs w:val="18"/>
              </w:rPr>
            </w:pPr>
          </w:p>
          <w:p w14:paraId="44DD4787" w14:textId="77777777" w:rsidR="006A7A62" w:rsidRDefault="006A7A62" w:rsidP="00A45191">
            <w:pPr>
              <w:pStyle w:val="TableContents"/>
              <w:rPr>
                <w:sz w:val="18"/>
                <w:szCs w:val="18"/>
              </w:rPr>
            </w:pPr>
            <w:r>
              <w:rPr>
                <w:sz w:val="18"/>
                <w:szCs w:val="18"/>
              </w:rPr>
              <w:t xml:space="preserve">4.3.4 Youth radio will be developed by Shujaaz - the team will review how messages are packaged for different audience and this will be reflected in the media production guides </w:t>
            </w:r>
          </w:p>
          <w:p w14:paraId="363B4953" w14:textId="77777777" w:rsidR="006A7A62" w:rsidRDefault="006A7A62" w:rsidP="00A45191">
            <w:pPr>
              <w:pStyle w:val="TableContents"/>
              <w:rPr>
                <w:sz w:val="18"/>
                <w:szCs w:val="18"/>
              </w:rPr>
            </w:pPr>
          </w:p>
          <w:p w14:paraId="76B26356" w14:textId="738D8E4A" w:rsidR="006A7A62" w:rsidRPr="0084776C" w:rsidRDefault="006A7A62" w:rsidP="00715988">
            <w:pPr>
              <w:pStyle w:val="TableContents"/>
              <w:rPr>
                <w:sz w:val="18"/>
                <w:szCs w:val="18"/>
              </w:rPr>
            </w:pPr>
            <w:r>
              <w:rPr>
                <w:sz w:val="18"/>
                <w:szCs w:val="18"/>
              </w:rPr>
              <w:t xml:space="preserve">4.3.5 Feed information into IDRC networks as part of peer mentoring and support </w:t>
            </w:r>
          </w:p>
        </w:tc>
        <w:tc>
          <w:tcPr>
            <w:tcW w:w="1999" w:type="dxa"/>
            <w:tcBorders>
              <w:top w:val="single" w:sz="2" w:space="0" w:color="000001"/>
              <w:left w:val="single" w:sz="2" w:space="0" w:color="000001"/>
            </w:tcBorders>
            <w:shd w:val="clear" w:color="auto" w:fill="auto"/>
            <w:tcMar>
              <w:left w:w="51" w:type="dxa"/>
            </w:tcMar>
          </w:tcPr>
          <w:p w14:paraId="3DBAE507" w14:textId="77777777" w:rsidR="006A7A62" w:rsidRDefault="006A7A62" w:rsidP="006A7A62">
            <w:pPr>
              <w:pStyle w:val="TableContents"/>
              <w:rPr>
                <w:sz w:val="18"/>
                <w:szCs w:val="18"/>
              </w:rPr>
            </w:pPr>
            <w:r>
              <w:rPr>
                <w:sz w:val="18"/>
                <w:szCs w:val="18"/>
              </w:rPr>
              <w:t xml:space="preserve">From June 2017 </w:t>
            </w:r>
          </w:p>
          <w:p w14:paraId="3499D2BA" w14:textId="77777777" w:rsidR="006A7A62" w:rsidRDefault="006A7A62" w:rsidP="00715988">
            <w:pPr>
              <w:pStyle w:val="TableContents"/>
              <w:rPr>
                <w:sz w:val="18"/>
                <w:szCs w:val="18"/>
              </w:rPr>
            </w:pPr>
          </w:p>
          <w:p w14:paraId="0C360669" w14:textId="77777777" w:rsidR="006A7A62" w:rsidRDefault="006A7A62" w:rsidP="00715988">
            <w:pPr>
              <w:pStyle w:val="TableContents"/>
              <w:rPr>
                <w:sz w:val="18"/>
                <w:szCs w:val="18"/>
              </w:rPr>
            </w:pPr>
          </w:p>
          <w:p w14:paraId="0F742FEF" w14:textId="77777777" w:rsidR="006A7A62" w:rsidRDefault="006A7A62" w:rsidP="00715988">
            <w:pPr>
              <w:pStyle w:val="TableContents"/>
              <w:rPr>
                <w:sz w:val="18"/>
                <w:szCs w:val="18"/>
              </w:rPr>
            </w:pPr>
          </w:p>
          <w:p w14:paraId="0FA09FA6" w14:textId="77777777" w:rsidR="006A7A62" w:rsidRDefault="006A7A62" w:rsidP="00715988">
            <w:pPr>
              <w:pStyle w:val="TableContents"/>
              <w:rPr>
                <w:sz w:val="18"/>
                <w:szCs w:val="18"/>
              </w:rPr>
            </w:pPr>
          </w:p>
          <w:p w14:paraId="20194AF2" w14:textId="77777777" w:rsidR="006A7A62" w:rsidRDefault="006A7A62" w:rsidP="00715988">
            <w:pPr>
              <w:pStyle w:val="TableContents"/>
              <w:rPr>
                <w:sz w:val="18"/>
                <w:szCs w:val="18"/>
              </w:rPr>
            </w:pPr>
          </w:p>
          <w:p w14:paraId="055CDCC4" w14:textId="77777777" w:rsidR="006A7A62" w:rsidRDefault="006A7A62" w:rsidP="00715988">
            <w:pPr>
              <w:pStyle w:val="TableContents"/>
              <w:rPr>
                <w:sz w:val="18"/>
                <w:szCs w:val="18"/>
              </w:rPr>
            </w:pPr>
          </w:p>
          <w:p w14:paraId="568DFD2E" w14:textId="77777777" w:rsidR="006A7A62" w:rsidRDefault="006A7A62" w:rsidP="00715988">
            <w:pPr>
              <w:pStyle w:val="TableContents"/>
              <w:rPr>
                <w:sz w:val="18"/>
                <w:szCs w:val="18"/>
              </w:rPr>
            </w:pPr>
          </w:p>
          <w:p w14:paraId="2036AD79" w14:textId="77777777" w:rsidR="006A7A62" w:rsidRDefault="006A7A62" w:rsidP="00715988">
            <w:pPr>
              <w:pStyle w:val="TableContents"/>
              <w:rPr>
                <w:sz w:val="18"/>
                <w:szCs w:val="18"/>
              </w:rPr>
            </w:pPr>
          </w:p>
          <w:p w14:paraId="6CA9B3AD" w14:textId="77777777" w:rsidR="006A7A62" w:rsidRDefault="006A7A62" w:rsidP="00715988">
            <w:pPr>
              <w:pStyle w:val="TableContents"/>
              <w:rPr>
                <w:sz w:val="18"/>
                <w:szCs w:val="18"/>
              </w:rPr>
            </w:pPr>
          </w:p>
          <w:p w14:paraId="455EE0F1" w14:textId="05648C7F" w:rsidR="006A7A62" w:rsidRPr="0084776C" w:rsidRDefault="006A7A62" w:rsidP="00715988">
            <w:pPr>
              <w:pStyle w:val="TableContents"/>
              <w:rPr>
                <w:sz w:val="18"/>
                <w:szCs w:val="18"/>
              </w:rPr>
            </w:pPr>
          </w:p>
        </w:tc>
        <w:tc>
          <w:tcPr>
            <w:tcW w:w="3896" w:type="dxa"/>
            <w:tcBorders>
              <w:top w:val="single" w:sz="2" w:space="0" w:color="000001"/>
              <w:left w:val="single" w:sz="2" w:space="0" w:color="000001"/>
              <w:right w:val="single" w:sz="2" w:space="0" w:color="000001"/>
            </w:tcBorders>
            <w:shd w:val="clear" w:color="auto" w:fill="auto"/>
            <w:tcMar>
              <w:left w:w="51" w:type="dxa"/>
            </w:tcMar>
          </w:tcPr>
          <w:p w14:paraId="4584518C" w14:textId="584D18E9" w:rsidR="006A7A62" w:rsidRDefault="0037212C" w:rsidP="00257D68">
            <w:pPr>
              <w:pStyle w:val="TableContents"/>
              <w:rPr>
                <w:sz w:val="18"/>
                <w:szCs w:val="18"/>
              </w:rPr>
            </w:pPr>
            <w:r w:rsidRPr="00257D68">
              <w:rPr>
                <w:sz w:val="18"/>
                <w:szCs w:val="18"/>
              </w:rPr>
              <w:t>Report, policy brief, papers, blogs, newsletters</w:t>
            </w:r>
          </w:p>
          <w:p w14:paraId="0039308B" w14:textId="77777777" w:rsidR="006A7A62" w:rsidRDefault="006A7A62" w:rsidP="00257D68">
            <w:pPr>
              <w:pStyle w:val="TableContents"/>
              <w:rPr>
                <w:sz w:val="18"/>
                <w:szCs w:val="18"/>
              </w:rPr>
            </w:pPr>
          </w:p>
          <w:p w14:paraId="2D07FF51" w14:textId="77777777" w:rsidR="006A7A62" w:rsidRDefault="006A7A62" w:rsidP="00257D68">
            <w:pPr>
              <w:pStyle w:val="TableContents"/>
              <w:rPr>
                <w:sz w:val="18"/>
                <w:szCs w:val="18"/>
              </w:rPr>
            </w:pPr>
          </w:p>
          <w:p w14:paraId="26DA9075" w14:textId="77777777" w:rsidR="006A7A62" w:rsidRDefault="006A7A62" w:rsidP="00257D68">
            <w:pPr>
              <w:pStyle w:val="TableContents"/>
              <w:rPr>
                <w:sz w:val="18"/>
                <w:szCs w:val="18"/>
              </w:rPr>
            </w:pPr>
          </w:p>
          <w:p w14:paraId="29E4AC0D" w14:textId="77777777" w:rsidR="006A7A62" w:rsidRDefault="006A7A62" w:rsidP="00257D68">
            <w:pPr>
              <w:pStyle w:val="TableContents"/>
              <w:rPr>
                <w:sz w:val="18"/>
                <w:szCs w:val="18"/>
              </w:rPr>
            </w:pPr>
          </w:p>
          <w:p w14:paraId="44A93681" w14:textId="77777777" w:rsidR="006A7A62" w:rsidRDefault="006A7A62" w:rsidP="00257D68">
            <w:pPr>
              <w:pStyle w:val="TableContents"/>
              <w:rPr>
                <w:sz w:val="18"/>
                <w:szCs w:val="18"/>
              </w:rPr>
            </w:pPr>
          </w:p>
          <w:p w14:paraId="2A9CCD27" w14:textId="77777777" w:rsidR="006A7A62" w:rsidRDefault="006A7A62" w:rsidP="00257D68">
            <w:pPr>
              <w:pStyle w:val="TableContents"/>
              <w:rPr>
                <w:sz w:val="18"/>
                <w:szCs w:val="18"/>
              </w:rPr>
            </w:pPr>
          </w:p>
          <w:p w14:paraId="5C772649" w14:textId="77777777" w:rsidR="006A7A62" w:rsidRDefault="006A7A62" w:rsidP="00257D68">
            <w:pPr>
              <w:pStyle w:val="TableContents"/>
              <w:rPr>
                <w:sz w:val="18"/>
                <w:szCs w:val="18"/>
              </w:rPr>
            </w:pPr>
          </w:p>
          <w:p w14:paraId="6204A58B" w14:textId="77777777" w:rsidR="006A7A62" w:rsidRDefault="006A7A62" w:rsidP="00257D68">
            <w:pPr>
              <w:pStyle w:val="TableContents"/>
              <w:rPr>
                <w:sz w:val="18"/>
                <w:szCs w:val="18"/>
              </w:rPr>
            </w:pPr>
          </w:p>
          <w:p w14:paraId="591BD904" w14:textId="77777777" w:rsidR="006A7A62" w:rsidRDefault="006A7A62" w:rsidP="00257D68">
            <w:pPr>
              <w:pStyle w:val="TableContents"/>
              <w:rPr>
                <w:sz w:val="18"/>
                <w:szCs w:val="18"/>
              </w:rPr>
            </w:pPr>
          </w:p>
          <w:p w14:paraId="63E8695F" w14:textId="2B87B1AF" w:rsidR="006A7A62" w:rsidRPr="00257D68" w:rsidRDefault="006A7A62" w:rsidP="00257D68">
            <w:pPr>
              <w:pStyle w:val="TableContents"/>
              <w:numPr>
                <w:ilvl w:val="0"/>
                <w:numId w:val="14"/>
              </w:numPr>
              <w:rPr>
                <w:sz w:val="18"/>
                <w:szCs w:val="18"/>
              </w:rPr>
            </w:pPr>
          </w:p>
        </w:tc>
      </w:tr>
      <w:tr w:rsidR="006A7A62" w:rsidRPr="0084776C" w14:paraId="53A95227" w14:textId="77777777" w:rsidTr="00E70EDE">
        <w:trPr>
          <w:trHeight w:val="932"/>
        </w:trPr>
        <w:tc>
          <w:tcPr>
            <w:tcW w:w="1736" w:type="dxa"/>
            <w:tcBorders>
              <w:top w:val="single" w:sz="2" w:space="0" w:color="000001"/>
              <w:left w:val="single" w:sz="2" w:space="0" w:color="000001"/>
              <w:bottom w:val="single" w:sz="2" w:space="0" w:color="000001"/>
            </w:tcBorders>
            <w:shd w:val="clear" w:color="auto" w:fill="EEEEEE"/>
            <w:tcMar>
              <w:left w:w="51" w:type="dxa"/>
            </w:tcMar>
          </w:tcPr>
          <w:p w14:paraId="45F39AFC" w14:textId="77777777" w:rsidR="006A7A62" w:rsidRDefault="006A7A62" w:rsidP="00DA02D8">
            <w:pPr>
              <w:pStyle w:val="TableContents"/>
              <w:rPr>
                <w:bCs/>
                <w:sz w:val="18"/>
                <w:szCs w:val="18"/>
              </w:rPr>
            </w:pPr>
            <w:r w:rsidRPr="00BB374E">
              <w:rPr>
                <w:bCs/>
                <w:sz w:val="18"/>
                <w:szCs w:val="18"/>
              </w:rPr>
              <w:t xml:space="preserve">Other </w:t>
            </w:r>
          </w:p>
          <w:p w14:paraId="2D8D7C95" w14:textId="77777777" w:rsidR="006A7A62" w:rsidRDefault="006A7A62" w:rsidP="00DA02D8">
            <w:pPr>
              <w:pStyle w:val="TableContents"/>
              <w:rPr>
                <w:bCs/>
                <w:sz w:val="18"/>
                <w:szCs w:val="18"/>
              </w:rPr>
            </w:pPr>
          </w:p>
          <w:p w14:paraId="27F1321A" w14:textId="77777777" w:rsidR="006A7A62" w:rsidRDefault="006A7A62" w:rsidP="00DA02D8">
            <w:pPr>
              <w:pStyle w:val="TableContents"/>
              <w:rPr>
                <w:bCs/>
                <w:sz w:val="18"/>
                <w:szCs w:val="18"/>
              </w:rPr>
            </w:pPr>
          </w:p>
          <w:p w14:paraId="59654426" w14:textId="69AACEBE" w:rsidR="006A7A62" w:rsidRPr="00BB374E" w:rsidRDefault="006A7A62" w:rsidP="00DA02D8">
            <w:pPr>
              <w:pStyle w:val="TableContents"/>
              <w:rPr>
                <w:bCs/>
                <w:sz w:val="18"/>
                <w:szCs w:val="18"/>
              </w:rPr>
            </w:pPr>
          </w:p>
        </w:tc>
        <w:tc>
          <w:tcPr>
            <w:tcW w:w="2690" w:type="dxa"/>
            <w:tcBorders>
              <w:top w:val="single" w:sz="2" w:space="0" w:color="000001"/>
              <w:left w:val="single" w:sz="2" w:space="0" w:color="000001"/>
              <w:bottom w:val="single" w:sz="2" w:space="0" w:color="000001"/>
            </w:tcBorders>
            <w:shd w:val="clear" w:color="auto" w:fill="EEEEEE"/>
            <w:tcMar>
              <w:left w:w="51" w:type="dxa"/>
            </w:tcMar>
          </w:tcPr>
          <w:p w14:paraId="6B1BDE58" w14:textId="77777777" w:rsidR="006A7A62" w:rsidRDefault="006A7A62" w:rsidP="001E6513">
            <w:pPr>
              <w:pStyle w:val="TableContents"/>
              <w:rPr>
                <w:bCs/>
                <w:sz w:val="18"/>
                <w:szCs w:val="18"/>
              </w:rPr>
            </w:pPr>
            <w:r w:rsidRPr="00BB374E">
              <w:rPr>
                <w:bCs/>
                <w:sz w:val="18"/>
                <w:szCs w:val="18"/>
              </w:rPr>
              <w:t>Student selection</w:t>
            </w:r>
          </w:p>
          <w:p w14:paraId="272DBA13" w14:textId="77777777" w:rsidR="006A7A62" w:rsidRDefault="006A7A62" w:rsidP="001E6513">
            <w:pPr>
              <w:pStyle w:val="TableContents"/>
              <w:rPr>
                <w:bCs/>
                <w:sz w:val="18"/>
                <w:szCs w:val="18"/>
              </w:rPr>
            </w:pPr>
          </w:p>
          <w:p w14:paraId="1CF44138" w14:textId="71FD679C" w:rsidR="006A7A62" w:rsidRPr="00BB374E" w:rsidRDefault="006A7A62" w:rsidP="001E6513">
            <w:pPr>
              <w:pStyle w:val="TableContents"/>
              <w:rPr>
                <w:bCs/>
                <w:sz w:val="18"/>
                <w:szCs w:val="18"/>
              </w:rPr>
            </w:pPr>
          </w:p>
        </w:tc>
        <w:tc>
          <w:tcPr>
            <w:tcW w:w="4428" w:type="dxa"/>
            <w:tcBorders>
              <w:top w:val="single" w:sz="2" w:space="0" w:color="000001"/>
              <w:left w:val="single" w:sz="2" w:space="0" w:color="000001"/>
              <w:bottom w:val="single" w:sz="2" w:space="0" w:color="000001"/>
            </w:tcBorders>
            <w:shd w:val="clear" w:color="auto" w:fill="EEEEEE"/>
            <w:tcMar>
              <w:left w:w="51" w:type="dxa"/>
            </w:tcMar>
            <w:vAlign w:val="center"/>
          </w:tcPr>
          <w:p w14:paraId="2ADF4E6C" w14:textId="77777777" w:rsidR="006A7A62" w:rsidRDefault="006A7A62" w:rsidP="001E6513">
            <w:pPr>
              <w:pStyle w:val="TableContents"/>
              <w:rPr>
                <w:bCs/>
                <w:sz w:val="18"/>
                <w:szCs w:val="18"/>
              </w:rPr>
            </w:pPr>
            <w:r w:rsidRPr="00BB374E">
              <w:rPr>
                <w:bCs/>
                <w:sz w:val="18"/>
                <w:szCs w:val="18"/>
              </w:rPr>
              <w:t>Though fair and open recruitment without positive action 4 of the 5 students recruited to work along side this project are women all are under 35.</w:t>
            </w:r>
          </w:p>
          <w:p w14:paraId="289D9B0D" w14:textId="77777777" w:rsidR="006A7A62" w:rsidRDefault="006A7A62" w:rsidP="001E6513">
            <w:pPr>
              <w:pStyle w:val="TableContents"/>
              <w:rPr>
                <w:bCs/>
                <w:sz w:val="18"/>
                <w:szCs w:val="18"/>
              </w:rPr>
            </w:pPr>
          </w:p>
          <w:p w14:paraId="6176CBE5" w14:textId="7734FC65" w:rsidR="006A7A62" w:rsidRPr="00BB374E" w:rsidRDefault="006A7A62" w:rsidP="001E6513">
            <w:pPr>
              <w:pStyle w:val="TableContents"/>
              <w:rPr>
                <w:bCs/>
                <w:sz w:val="18"/>
                <w:szCs w:val="18"/>
              </w:rPr>
            </w:pPr>
          </w:p>
        </w:tc>
        <w:tc>
          <w:tcPr>
            <w:tcW w:w="1999" w:type="dxa"/>
            <w:tcBorders>
              <w:top w:val="single" w:sz="2" w:space="0" w:color="000001"/>
              <w:left w:val="single" w:sz="2" w:space="0" w:color="000001"/>
              <w:bottom w:val="single" w:sz="2" w:space="0" w:color="000001"/>
            </w:tcBorders>
            <w:shd w:val="clear" w:color="auto" w:fill="EEEEEE"/>
            <w:tcMar>
              <w:left w:w="51" w:type="dxa"/>
            </w:tcMar>
            <w:vAlign w:val="center"/>
          </w:tcPr>
          <w:p w14:paraId="7C2F89D2" w14:textId="77777777" w:rsidR="006A7A62" w:rsidRDefault="006A7A62" w:rsidP="00DA02D8">
            <w:pPr>
              <w:pStyle w:val="TableContents"/>
              <w:rPr>
                <w:bCs/>
                <w:sz w:val="18"/>
                <w:szCs w:val="18"/>
              </w:rPr>
            </w:pPr>
            <w:r w:rsidRPr="00BB374E">
              <w:rPr>
                <w:bCs/>
                <w:sz w:val="18"/>
                <w:szCs w:val="18"/>
              </w:rPr>
              <w:t xml:space="preserve">Start April 2016 </w:t>
            </w:r>
          </w:p>
          <w:p w14:paraId="63D40500" w14:textId="77777777" w:rsidR="006A7A62" w:rsidRDefault="006A7A62" w:rsidP="00DA02D8">
            <w:pPr>
              <w:pStyle w:val="TableContents"/>
              <w:rPr>
                <w:bCs/>
                <w:sz w:val="18"/>
                <w:szCs w:val="18"/>
              </w:rPr>
            </w:pPr>
          </w:p>
          <w:p w14:paraId="57D0B7A7" w14:textId="77777777" w:rsidR="006A7A62" w:rsidRDefault="006A7A62" w:rsidP="00DA02D8">
            <w:pPr>
              <w:pStyle w:val="TableContents"/>
              <w:rPr>
                <w:bCs/>
                <w:sz w:val="18"/>
                <w:szCs w:val="18"/>
              </w:rPr>
            </w:pPr>
          </w:p>
          <w:p w14:paraId="41521604" w14:textId="77777777" w:rsidR="006A7A62" w:rsidRDefault="006A7A62" w:rsidP="006A7A62">
            <w:pPr>
              <w:pStyle w:val="TableContents"/>
              <w:rPr>
                <w:bCs/>
                <w:sz w:val="18"/>
                <w:szCs w:val="18"/>
              </w:rPr>
            </w:pPr>
          </w:p>
          <w:p w14:paraId="25790621" w14:textId="55DF02FB" w:rsidR="006A7A62" w:rsidRPr="00BB374E" w:rsidRDefault="006A7A62" w:rsidP="006A7A62">
            <w:pPr>
              <w:pStyle w:val="TableContents"/>
              <w:rPr>
                <w:bCs/>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2EECF615" w14:textId="77777777" w:rsidR="006A7A62" w:rsidRPr="00BB374E" w:rsidRDefault="006A7A62" w:rsidP="004E069F">
            <w:pPr>
              <w:pStyle w:val="TableContents"/>
              <w:jc w:val="center"/>
              <w:rPr>
                <w:bCs/>
                <w:sz w:val="18"/>
                <w:szCs w:val="18"/>
              </w:rPr>
            </w:pPr>
          </w:p>
        </w:tc>
      </w:tr>
      <w:tr w:rsidR="006A7A62" w:rsidRPr="0084776C" w14:paraId="629D89BC" w14:textId="77777777" w:rsidTr="00E70EDE">
        <w:trPr>
          <w:trHeight w:val="1074"/>
        </w:trPr>
        <w:tc>
          <w:tcPr>
            <w:tcW w:w="1736" w:type="dxa"/>
            <w:tcBorders>
              <w:top w:val="single" w:sz="2" w:space="0" w:color="000001"/>
              <w:left w:val="single" w:sz="2" w:space="0" w:color="000001"/>
              <w:bottom w:val="single" w:sz="2" w:space="0" w:color="000001"/>
              <w:right w:val="single" w:sz="2" w:space="0" w:color="000001"/>
            </w:tcBorders>
            <w:shd w:val="clear" w:color="auto" w:fill="EEEEEE"/>
            <w:tcMar>
              <w:left w:w="51" w:type="dxa"/>
            </w:tcMar>
          </w:tcPr>
          <w:p w14:paraId="2CFE4F7C" w14:textId="77777777" w:rsidR="006A7A62" w:rsidRDefault="006A7A62" w:rsidP="00DA02D8">
            <w:pPr>
              <w:pStyle w:val="TableContents"/>
              <w:rPr>
                <w:bCs/>
                <w:sz w:val="18"/>
                <w:szCs w:val="18"/>
              </w:rPr>
            </w:pPr>
            <w:r w:rsidRPr="00BB374E">
              <w:rPr>
                <w:bCs/>
                <w:sz w:val="18"/>
                <w:szCs w:val="18"/>
              </w:rPr>
              <w:t>Other</w:t>
            </w:r>
          </w:p>
          <w:p w14:paraId="333C0D8B" w14:textId="77777777" w:rsidR="006A7A62" w:rsidRDefault="006A7A62" w:rsidP="001E6513">
            <w:pPr>
              <w:pStyle w:val="TableContents"/>
              <w:jc w:val="center"/>
              <w:rPr>
                <w:bCs/>
                <w:sz w:val="18"/>
                <w:szCs w:val="18"/>
              </w:rPr>
            </w:pPr>
          </w:p>
          <w:p w14:paraId="21E06640" w14:textId="77777777" w:rsidR="006A7A62" w:rsidRDefault="006A7A62" w:rsidP="001E6513">
            <w:pPr>
              <w:pStyle w:val="TableContents"/>
              <w:jc w:val="center"/>
              <w:rPr>
                <w:bCs/>
                <w:sz w:val="18"/>
                <w:szCs w:val="18"/>
              </w:rPr>
            </w:pPr>
          </w:p>
          <w:p w14:paraId="38BF71CA" w14:textId="77777777" w:rsidR="006A7A62" w:rsidRDefault="006A7A62" w:rsidP="001E6513">
            <w:pPr>
              <w:pStyle w:val="TableContents"/>
              <w:jc w:val="center"/>
              <w:rPr>
                <w:bCs/>
                <w:sz w:val="18"/>
                <w:szCs w:val="18"/>
              </w:rPr>
            </w:pPr>
          </w:p>
          <w:p w14:paraId="237D2DFC" w14:textId="77777777" w:rsidR="006A7A62" w:rsidRDefault="006A7A62" w:rsidP="001E6513">
            <w:pPr>
              <w:pStyle w:val="TableContents"/>
              <w:jc w:val="center"/>
              <w:rPr>
                <w:bCs/>
                <w:sz w:val="18"/>
                <w:szCs w:val="18"/>
              </w:rPr>
            </w:pPr>
          </w:p>
          <w:p w14:paraId="1459E561" w14:textId="77777777" w:rsidR="006A7A62" w:rsidRDefault="006A7A62" w:rsidP="001E6513">
            <w:pPr>
              <w:pStyle w:val="TableContents"/>
              <w:jc w:val="center"/>
              <w:rPr>
                <w:bCs/>
                <w:sz w:val="18"/>
                <w:szCs w:val="18"/>
              </w:rPr>
            </w:pPr>
          </w:p>
          <w:p w14:paraId="57C182FE" w14:textId="77777777" w:rsidR="006A7A62" w:rsidRDefault="006A7A62" w:rsidP="001E6513">
            <w:pPr>
              <w:pStyle w:val="TableContents"/>
              <w:jc w:val="center"/>
              <w:rPr>
                <w:bCs/>
                <w:sz w:val="18"/>
                <w:szCs w:val="18"/>
              </w:rPr>
            </w:pPr>
          </w:p>
          <w:p w14:paraId="35CB326D" w14:textId="77777777" w:rsidR="006A7A62" w:rsidRDefault="006A7A62" w:rsidP="001E6513">
            <w:pPr>
              <w:pStyle w:val="TableContents"/>
              <w:jc w:val="center"/>
              <w:rPr>
                <w:bCs/>
                <w:sz w:val="18"/>
                <w:szCs w:val="18"/>
              </w:rPr>
            </w:pPr>
          </w:p>
          <w:p w14:paraId="4F5A4581" w14:textId="77777777" w:rsidR="006A7A62" w:rsidRDefault="006A7A62" w:rsidP="001E6513">
            <w:pPr>
              <w:pStyle w:val="TableContents"/>
              <w:jc w:val="center"/>
              <w:rPr>
                <w:bCs/>
                <w:sz w:val="18"/>
                <w:szCs w:val="18"/>
              </w:rPr>
            </w:pPr>
          </w:p>
          <w:p w14:paraId="552951C2" w14:textId="77777777" w:rsidR="006A7A62" w:rsidRDefault="006A7A62" w:rsidP="001E6513">
            <w:pPr>
              <w:pStyle w:val="TableContents"/>
              <w:jc w:val="center"/>
              <w:rPr>
                <w:bCs/>
                <w:sz w:val="18"/>
                <w:szCs w:val="18"/>
              </w:rPr>
            </w:pPr>
          </w:p>
          <w:p w14:paraId="2D326EE5" w14:textId="77777777" w:rsidR="006A7A62" w:rsidRDefault="006A7A62" w:rsidP="001E6513">
            <w:pPr>
              <w:pStyle w:val="TableContents"/>
              <w:jc w:val="center"/>
              <w:rPr>
                <w:bCs/>
                <w:sz w:val="18"/>
                <w:szCs w:val="18"/>
              </w:rPr>
            </w:pPr>
          </w:p>
          <w:p w14:paraId="02D524DB" w14:textId="77777777" w:rsidR="006A7A62" w:rsidRDefault="006A7A62" w:rsidP="001E6513">
            <w:pPr>
              <w:pStyle w:val="TableContents"/>
              <w:jc w:val="center"/>
              <w:rPr>
                <w:bCs/>
                <w:sz w:val="18"/>
                <w:szCs w:val="18"/>
              </w:rPr>
            </w:pPr>
          </w:p>
          <w:p w14:paraId="0E631676" w14:textId="77777777" w:rsidR="006A7A62" w:rsidRPr="00BB374E" w:rsidRDefault="006A7A62" w:rsidP="001E6513">
            <w:pPr>
              <w:pStyle w:val="TableContents"/>
              <w:jc w:val="center"/>
              <w:rPr>
                <w:bCs/>
                <w:sz w:val="18"/>
                <w:szCs w:val="18"/>
              </w:rPr>
            </w:pPr>
          </w:p>
        </w:tc>
        <w:tc>
          <w:tcPr>
            <w:tcW w:w="2690" w:type="dxa"/>
            <w:tcBorders>
              <w:top w:val="single" w:sz="2" w:space="0" w:color="000001"/>
              <w:left w:val="single" w:sz="2" w:space="0" w:color="000001"/>
              <w:bottom w:val="single" w:sz="2" w:space="0" w:color="000001"/>
              <w:right w:val="single" w:sz="2" w:space="0" w:color="000001"/>
            </w:tcBorders>
            <w:shd w:val="clear" w:color="auto" w:fill="EEEEEE"/>
            <w:tcMar>
              <w:left w:w="51" w:type="dxa"/>
            </w:tcMar>
          </w:tcPr>
          <w:p w14:paraId="7E7F6280" w14:textId="77777777" w:rsidR="006A7A62" w:rsidRDefault="006A7A62" w:rsidP="001E6513">
            <w:pPr>
              <w:pStyle w:val="TableContents"/>
              <w:rPr>
                <w:bCs/>
                <w:sz w:val="18"/>
                <w:szCs w:val="18"/>
              </w:rPr>
            </w:pPr>
            <w:r w:rsidRPr="00BB374E">
              <w:rPr>
                <w:bCs/>
                <w:sz w:val="18"/>
                <w:szCs w:val="18"/>
              </w:rPr>
              <w:t xml:space="preserve">Resource development </w:t>
            </w:r>
          </w:p>
          <w:p w14:paraId="77F2B66B" w14:textId="77777777" w:rsidR="006A7A62" w:rsidRDefault="006A7A62" w:rsidP="001E6513">
            <w:pPr>
              <w:pStyle w:val="TableContents"/>
              <w:rPr>
                <w:bCs/>
                <w:sz w:val="18"/>
                <w:szCs w:val="18"/>
              </w:rPr>
            </w:pPr>
          </w:p>
          <w:p w14:paraId="354D12B2" w14:textId="77777777" w:rsidR="006A7A62" w:rsidRDefault="006A7A62" w:rsidP="001E6513">
            <w:pPr>
              <w:pStyle w:val="TableContents"/>
              <w:rPr>
                <w:bCs/>
                <w:sz w:val="18"/>
                <w:szCs w:val="18"/>
              </w:rPr>
            </w:pPr>
          </w:p>
          <w:p w14:paraId="68D2F8D3" w14:textId="77777777" w:rsidR="006A7A62" w:rsidRDefault="006A7A62" w:rsidP="001E6513">
            <w:pPr>
              <w:pStyle w:val="TableContents"/>
              <w:rPr>
                <w:bCs/>
                <w:sz w:val="18"/>
                <w:szCs w:val="18"/>
              </w:rPr>
            </w:pPr>
          </w:p>
          <w:p w14:paraId="00A09F68" w14:textId="77777777" w:rsidR="006A7A62" w:rsidRDefault="006A7A62" w:rsidP="001E6513">
            <w:pPr>
              <w:pStyle w:val="TableContents"/>
              <w:rPr>
                <w:bCs/>
                <w:sz w:val="18"/>
                <w:szCs w:val="18"/>
              </w:rPr>
            </w:pPr>
          </w:p>
          <w:p w14:paraId="2D1009B6" w14:textId="77777777" w:rsidR="006A7A62" w:rsidRDefault="006A7A62" w:rsidP="001E6513">
            <w:pPr>
              <w:pStyle w:val="TableContents"/>
              <w:rPr>
                <w:bCs/>
                <w:sz w:val="18"/>
                <w:szCs w:val="18"/>
              </w:rPr>
            </w:pPr>
          </w:p>
          <w:p w14:paraId="5B51560C" w14:textId="77777777" w:rsidR="006A7A62" w:rsidRDefault="006A7A62" w:rsidP="001E6513">
            <w:pPr>
              <w:pStyle w:val="TableContents"/>
              <w:rPr>
                <w:bCs/>
                <w:sz w:val="18"/>
                <w:szCs w:val="18"/>
              </w:rPr>
            </w:pPr>
          </w:p>
          <w:p w14:paraId="5A5EE1E9" w14:textId="77777777" w:rsidR="006A7A62" w:rsidRDefault="006A7A62" w:rsidP="001E6513">
            <w:pPr>
              <w:pStyle w:val="TableContents"/>
              <w:rPr>
                <w:bCs/>
                <w:sz w:val="18"/>
                <w:szCs w:val="18"/>
              </w:rPr>
            </w:pPr>
          </w:p>
          <w:p w14:paraId="050D9E2F" w14:textId="77777777" w:rsidR="006A7A62" w:rsidRDefault="006A7A62" w:rsidP="001E6513">
            <w:pPr>
              <w:pStyle w:val="TableContents"/>
              <w:rPr>
                <w:bCs/>
                <w:sz w:val="18"/>
                <w:szCs w:val="18"/>
              </w:rPr>
            </w:pPr>
          </w:p>
          <w:p w14:paraId="767A322F" w14:textId="77777777" w:rsidR="006A7A62" w:rsidRDefault="006A7A62" w:rsidP="001E6513">
            <w:pPr>
              <w:pStyle w:val="TableContents"/>
              <w:rPr>
                <w:bCs/>
                <w:sz w:val="18"/>
                <w:szCs w:val="18"/>
              </w:rPr>
            </w:pPr>
          </w:p>
          <w:p w14:paraId="48E42F5B" w14:textId="77777777" w:rsidR="006A7A62" w:rsidRDefault="006A7A62" w:rsidP="001E6513">
            <w:pPr>
              <w:pStyle w:val="TableContents"/>
              <w:rPr>
                <w:bCs/>
                <w:sz w:val="18"/>
                <w:szCs w:val="18"/>
              </w:rPr>
            </w:pPr>
          </w:p>
          <w:p w14:paraId="74F9A0AE" w14:textId="77777777" w:rsidR="006A7A62" w:rsidRDefault="006A7A62" w:rsidP="001E6513">
            <w:pPr>
              <w:pStyle w:val="TableContents"/>
              <w:rPr>
                <w:bCs/>
                <w:sz w:val="18"/>
                <w:szCs w:val="18"/>
              </w:rPr>
            </w:pPr>
          </w:p>
          <w:p w14:paraId="0A616704" w14:textId="77777777" w:rsidR="006A7A62" w:rsidRPr="00BB374E" w:rsidRDefault="006A7A62" w:rsidP="001E6513">
            <w:pPr>
              <w:pStyle w:val="TableContents"/>
              <w:rPr>
                <w:bCs/>
                <w:sz w:val="18"/>
                <w:szCs w:val="18"/>
              </w:rPr>
            </w:pPr>
          </w:p>
        </w:tc>
        <w:tc>
          <w:tcPr>
            <w:tcW w:w="4428"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458BBE96" w14:textId="4E2F009C" w:rsidR="006A7A62" w:rsidRPr="00BB374E" w:rsidRDefault="006A7A62" w:rsidP="001E6513">
            <w:pPr>
              <w:pStyle w:val="TableContents"/>
              <w:rPr>
                <w:bCs/>
                <w:sz w:val="18"/>
                <w:szCs w:val="18"/>
              </w:rPr>
            </w:pPr>
            <w:r w:rsidRPr="00BB374E">
              <w:rPr>
                <w:bCs/>
                <w:sz w:val="18"/>
                <w:szCs w:val="18"/>
              </w:rPr>
              <w:t>The Legume Alliance (CABI and IITA/N2A) has been able to leverage the IDRC funded scale-up campaigns to secure additional funds for the Gender and the Legume Alliance programme (GALA) funded by DFID’s Sustainable Agricultural Intensification and Learning in Africa this will around US$ 200,000 additional funds to intensify the research into gender related issues during the life time of the project – a further estimated US$ 100,000 will be spent on continuing the research through to the end of 2019. This overcomes one of the major issues where research funds are not available to track the changes that happen over the time period after the scale-up campaign when changes in practice often happen</w:t>
            </w:r>
          </w:p>
        </w:tc>
        <w:tc>
          <w:tcPr>
            <w:tcW w:w="1999"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091B869E" w14:textId="77777777" w:rsidR="006A7A62" w:rsidRDefault="006A7A62" w:rsidP="00DA02D8">
            <w:pPr>
              <w:pStyle w:val="TableContents"/>
              <w:rPr>
                <w:bCs/>
                <w:sz w:val="18"/>
                <w:szCs w:val="18"/>
              </w:rPr>
            </w:pPr>
            <w:r w:rsidRPr="00BB374E">
              <w:rPr>
                <w:bCs/>
                <w:sz w:val="18"/>
                <w:szCs w:val="18"/>
              </w:rPr>
              <w:t xml:space="preserve">April 2016 – </w:t>
            </w:r>
          </w:p>
          <w:p w14:paraId="293D25FD" w14:textId="0008055D" w:rsidR="006A7A62" w:rsidRDefault="006A7A62" w:rsidP="00DA02D8">
            <w:pPr>
              <w:pStyle w:val="TableContents"/>
              <w:rPr>
                <w:bCs/>
                <w:sz w:val="18"/>
                <w:szCs w:val="18"/>
              </w:rPr>
            </w:pPr>
            <w:r w:rsidRPr="00BB374E">
              <w:rPr>
                <w:bCs/>
                <w:sz w:val="18"/>
                <w:szCs w:val="18"/>
              </w:rPr>
              <w:t xml:space="preserve">December 2019 </w:t>
            </w:r>
          </w:p>
          <w:p w14:paraId="29E71C79" w14:textId="77777777" w:rsidR="006A7A62" w:rsidRDefault="006A7A62" w:rsidP="001E6513">
            <w:pPr>
              <w:pStyle w:val="TableContents"/>
              <w:jc w:val="center"/>
              <w:rPr>
                <w:bCs/>
                <w:sz w:val="18"/>
                <w:szCs w:val="18"/>
              </w:rPr>
            </w:pPr>
          </w:p>
          <w:p w14:paraId="223C2553" w14:textId="77777777" w:rsidR="006A7A62" w:rsidRDefault="006A7A62" w:rsidP="001E6513">
            <w:pPr>
              <w:pStyle w:val="TableContents"/>
              <w:jc w:val="center"/>
              <w:rPr>
                <w:bCs/>
                <w:sz w:val="18"/>
                <w:szCs w:val="18"/>
              </w:rPr>
            </w:pPr>
          </w:p>
          <w:p w14:paraId="7870B30C" w14:textId="77777777" w:rsidR="006A7A62" w:rsidRDefault="006A7A62" w:rsidP="001E6513">
            <w:pPr>
              <w:pStyle w:val="TableContents"/>
              <w:jc w:val="center"/>
              <w:rPr>
                <w:bCs/>
                <w:sz w:val="18"/>
                <w:szCs w:val="18"/>
              </w:rPr>
            </w:pPr>
          </w:p>
          <w:p w14:paraId="1691C1A8" w14:textId="77777777" w:rsidR="006A7A62" w:rsidRDefault="006A7A62" w:rsidP="001E6513">
            <w:pPr>
              <w:pStyle w:val="TableContents"/>
              <w:jc w:val="center"/>
              <w:rPr>
                <w:bCs/>
                <w:sz w:val="18"/>
                <w:szCs w:val="18"/>
              </w:rPr>
            </w:pPr>
          </w:p>
          <w:p w14:paraId="70BF0BE4" w14:textId="77777777" w:rsidR="006A7A62" w:rsidRDefault="006A7A62" w:rsidP="001E6513">
            <w:pPr>
              <w:pStyle w:val="TableContents"/>
              <w:jc w:val="center"/>
              <w:rPr>
                <w:bCs/>
                <w:sz w:val="18"/>
                <w:szCs w:val="18"/>
              </w:rPr>
            </w:pPr>
          </w:p>
          <w:p w14:paraId="6C381D11" w14:textId="77777777" w:rsidR="006A7A62" w:rsidRDefault="006A7A62" w:rsidP="001E6513">
            <w:pPr>
              <w:pStyle w:val="TableContents"/>
              <w:jc w:val="center"/>
              <w:rPr>
                <w:bCs/>
                <w:sz w:val="18"/>
                <w:szCs w:val="18"/>
              </w:rPr>
            </w:pPr>
          </w:p>
          <w:p w14:paraId="3FBFFD1A" w14:textId="77777777" w:rsidR="006A7A62" w:rsidRDefault="006A7A62" w:rsidP="001E6513">
            <w:pPr>
              <w:pStyle w:val="TableContents"/>
              <w:jc w:val="center"/>
              <w:rPr>
                <w:bCs/>
                <w:sz w:val="18"/>
                <w:szCs w:val="18"/>
              </w:rPr>
            </w:pPr>
          </w:p>
          <w:p w14:paraId="435DA5E3" w14:textId="77777777" w:rsidR="006A7A62" w:rsidRDefault="006A7A62" w:rsidP="001E6513">
            <w:pPr>
              <w:pStyle w:val="TableContents"/>
              <w:jc w:val="center"/>
              <w:rPr>
                <w:bCs/>
                <w:sz w:val="18"/>
                <w:szCs w:val="18"/>
              </w:rPr>
            </w:pPr>
          </w:p>
          <w:p w14:paraId="7AB1CE54" w14:textId="77777777" w:rsidR="006A7A62" w:rsidRDefault="006A7A62" w:rsidP="001E6513">
            <w:pPr>
              <w:pStyle w:val="TableContents"/>
              <w:jc w:val="center"/>
              <w:rPr>
                <w:bCs/>
                <w:sz w:val="18"/>
                <w:szCs w:val="18"/>
              </w:rPr>
            </w:pPr>
          </w:p>
          <w:p w14:paraId="124556B1" w14:textId="77777777" w:rsidR="006A7A62" w:rsidRDefault="006A7A62" w:rsidP="001E6513">
            <w:pPr>
              <w:pStyle w:val="TableContents"/>
              <w:jc w:val="center"/>
              <w:rPr>
                <w:bCs/>
                <w:sz w:val="18"/>
                <w:szCs w:val="18"/>
              </w:rPr>
            </w:pPr>
          </w:p>
          <w:p w14:paraId="1D1B5AEF" w14:textId="48B5E2E9" w:rsidR="006A7A62" w:rsidRPr="00BB374E" w:rsidRDefault="006A7A62" w:rsidP="001E6513">
            <w:pPr>
              <w:pStyle w:val="TableContents"/>
              <w:jc w:val="center"/>
              <w:rPr>
                <w:bCs/>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3D7C3F84" w14:textId="77777777" w:rsidR="006A7A62" w:rsidRPr="00BB374E" w:rsidRDefault="006A7A62" w:rsidP="001E6513">
            <w:pPr>
              <w:pStyle w:val="TableContents"/>
              <w:jc w:val="center"/>
              <w:rPr>
                <w:bCs/>
                <w:sz w:val="18"/>
                <w:szCs w:val="18"/>
              </w:rPr>
            </w:pPr>
          </w:p>
        </w:tc>
      </w:tr>
      <w:tr w:rsidR="006A7A62" w:rsidRPr="0084776C" w14:paraId="3CE37EAC" w14:textId="77777777" w:rsidTr="00DA02D8">
        <w:trPr>
          <w:trHeight w:val="309"/>
        </w:trPr>
        <w:tc>
          <w:tcPr>
            <w:tcW w:w="1736"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1FC31337" w14:textId="77777777" w:rsidR="006A7A62" w:rsidRPr="00BB374E" w:rsidRDefault="006A7A62" w:rsidP="001E6513">
            <w:pPr>
              <w:pStyle w:val="TableContents"/>
              <w:jc w:val="center"/>
              <w:rPr>
                <w:bCs/>
                <w:sz w:val="18"/>
                <w:szCs w:val="18"/>
              </w:rPr>
            </w:pPr>
          </w:p>
        </w:tc>
        <w:tc>
          <w:tcPr>
            <w:tcW w:w="2690"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19C4D5E9" w14:textId="77777777" w:rsidR="006A7A62" w:rsidRPr="00BB374E" w:rsidRDefault="006A7A62" w:rsidP="001E6513">
            <w:pPr>
              <w:pStyle w:val="TableContents"/>
              <w:rPr>
                <w:bCs/>
                <w:sz w:val="18"/>
                <w:szCs w:val="18"/>
              </w:rPr>
            </w:pPr>
          </w:p>
        </w:tc>
        <w:tc>
          <w:tcPr>
            <w:tcW w:w="4428"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2F4F1693" w14:textId="77777777" w:rsidR="006A7A62" w:rsidRPr="00BB374E" w:rsidRDefault="006A7A62" w:rsidP="001E6513">
            <w:pPr>
              <w:pStyle w:val="TableContents"/>
              <w:rPr>
                <w:bCs/>
                <w:sz w:val="18"/>
                <w:szCs w:val="18"/>
              </w:rPr>
            </w:pPr>
          </w:p>
        </w:tc>
        <w:tc>
          <w:tcPr>
            <w:tcW w:w="1999"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0821D175" w14:textId="77777777" w:rsidR="006A7A62" w:rsidRPr="00BB374E" w:rsidRDefault="006A7A62" w:rsidP="001E6513">
            <w:pPr>
              <w:pStyle w:val="TableContents"/>
              <w:jc w:val="center"/>
              <w:rPr>
                <w:bCs/>
                <w:sz w:val="18"/>
                <w:szCs w:val="18"/>
              </w:rPr>
            </w:pPr>
          </w:p>
        </w:tc>
        <w:tc>
          <w:tcPr>
            <w:tcW w:w="3896" w:type="dxa"/>
            <w:tcBorders>
              <w:top w:val="single" w:sz="2" w:space="0" w:color="000001"/>
              <w:left w:val="single" w:sz="2" w:space="0" w:color="000001"/>
              <w:bottom w:val="single" w:sz="2" w:space="0" w:color="000001"/>
              <w:right w:val="single" w:sz="2" w:space="0" w:color="000001"/>
            </w:tcBorders>
            <w:shd w:val="clear" w:color="auto" w:fill="EEEEEE"/>
            <w:tcMar>
              <w:left w:w="51" w:type="dxa"/>
            </w:tcMar>
            <w:vAlign w:val="center"/>
          </w:tcPr>
          <w:p w14:paraId="146D36FF" w14:textId="77777777" w:rsidR="006A7A62" w:rsidRPr="00BB374E" w:rsidRDefault="006A7A62" w:rsidP="001E6513">
            <w:pPr>
              <w:pStyle w:val="TableContents"/>
              <w:jc w:val="center"/>
              <w:rPr>
                <w:bCs/>
                <w:sz w:val="18"/>
                <w:szCs w:val="18"/>
              </w:rPr>
            </w:pPr>
          </w:p>
        </w:tc>
      </w:tr>
    </w:tbl>
    <w:p w14:paraId="14756896" w14:textId="77777777" w:rsidR="001E6513" w:rsidRDefault="001E6513" w:rsidP="004E069F">
      <w:pPr>
        <w:pStyle w:val="TableContents"/>
        <w:jc w:val="center"/>
        <w:rPr>
          <w:b/>
          <w:bCs/>
          <w:sz w:val="18"/>
          <w:szCs w:val="18"/>
        </w:rPr>
      </w:pPr>
    </w:p>
    <w:p w14:paraId="056484BB" w14:textId="77777777" w:rsidR="001E6513" w:rsidRDefault="001E6513" w:rsidP="00D12868">
      <w:pPr>
        <w:pStyle w:val="TableContents"/>
        <w:rPr>
          <w:b/>
          <w:bCs/>
          <w:sz w:val="18"/>
          <w:szCs w:val="18"/>
        </w:rPr>
      </w:pPr>
    </w:p>
    <w:p w14:paraId="2A25AD27" w14:textId="77777777" w:rsidR="00CD4419" w:rsidRPr="0084776C" w:rsidRDefault="00CD4419">
      <w:pPr>
        <w:rPr>
          <w:sz w:val="18"/>
          <w:szCs w:val="18"/>
        </w:rPr>
      </w:pPr>
    </w:p>
    <w:p w14:paraId="02706A91" w14:textId="77777777" w:rsidR="00E65741" w:rsidRPr="0084776C" w:rsidRDefault="00E65741">
      <w:pPr>
        <w:rPr>
          <w:sz w:val="18"/>
          <w:szCs w:val="18"/>
        </w:rPr>
      </w:pPr>
      <w:bookmarkStart w:id="0" w:name="_GoBack"/>
      <w:bookmarkEnd w:id="0"/>
    </w:p>
    <w:p w14:paraId="2DB4F566" w14:textId="77777777" w:rsidR="00E65741" w:rsidRPr="0084776C" w:rsidRDefault="00E65741">
      <w:pPr>
        <w:rPr>
          <w:sz w:val="18"/>
          <w:szCs w:val="18"/>
        </w:rPr>
      </w:pPr>
    </w:p>
    <w:sectPr w:rsidR="00E65741" w:rsidRPr="0084776C">
      <w:pgSz w:w="16838" w:h="11906" w:orient="landscape"/>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383B" w14:textId="77777777" w:rsidR="00DA02D8" w:rsidRDefault="00DA02D8">
      <w:r>
        <w:separator/>
      </w:r>
    </w:p>
  </w:endnote>
  <w:endnote w:type="continuationSeparator" w:id="0">
    <w:p w14:paraId="62AE0E9E" w14:textId="77777777" w:rsidR="00DA02D8" w:rsidRDefault="00D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uphemia">
    <w:altName w:val="Arial"/>
    <w:charset w:val="01"/>
    <w:family w:val="swiss"/>
    <w:pitch w:val="default"/>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D083" w14:textId="77777777" w:rsidR="00DA02D8" w:rsidRDefault="00DA02D8">
      <w:r>
        <w:separator/>
      </w:r>
    </w:p>
  </w:footnote>
  <w:footnote w:type="continuationSeparator" w:id="0">
    <w:p w14:paraId="1C415601" w14:textId="77777777" w:rsidR="00DA02D8" w:rsidRDefault="00DA02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185E"/>
    <w:multiLevelType w:val="multilevel"/>
    <w:tmpl w:val="1CD0D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7D05D2C"/>
    <w:multiLevelType w:val="multilevel"/>
    <w:tmpl w:val="59602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1E41AD9"/>
    <w:multiLevelType w:val="hybridMultilevel"/>
    <w:tmpl w:val="538CB3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1F233DE"/>
    <w:multiLevelType w:val="multilevel"/>
    <w:tmpl w:val="15641C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4E6601F"/>
    <w:multiLevelType w:val="multilevel"/>
    <w:tmpl w:val="8D0A615C"/>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362" w:hanging="36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724" w:hanging="72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087" w:hanging="1080"/>
      </w:pPr>
      <w:rPr>
        <w:rFonts w:hint="default"/>
      </w:rPr>
    </w:lvl>
    <w:lvl w:ilvl="8">
      <w:start w:val="1"/>
      <w:numFmt w:val="decimal"/>
      <w:lvlText w:val="%1.%2.%3.%4.%5.%6.%7.%8.%9"/>
      <w:lvlJc w:val="left"/>
      <w:pPr>
        <w:ind w:left="1448" w:hanging="1440"/>
      </w:pPr>
      <w:rPr>
        <w:rFonts w:hint="default"/>
      </w:rPr>
    </w:lvl>
  </w:abstractNum>
  <w:abstractNum w:abstractNumId="6">
    <w:nsid w:val="19087173"/>
    <w:multiLevelType w:val="hybridMultilevel"/>
    <w:tmpl w:val="305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DE"/>
    <w:multiLevelType w:val="hybridMultilevel"/>
    <w:tmpl w:val="9E3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411FC"/>
    <w:multiLevelType w:val="hybridMultilevel"/>
    <w:tmpl w:val="53C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059C7"/>
    <w:multiLevelType w:val="multilevel"/>
    <w:tmpl w:val="E968ED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DE776C8"/>
    <w:multiLevelType w:val="hybridMultilevel"/>
    <w:tmpl w:val="430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B6286"/>
    <w:multiLevelType w:val="multilevel"/>
    <w:tmpl w:val="F4786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6CD779A"/>
    <w:multiLevelType w:val="multilevel"/>
    <w:tmpl w:val="2FF065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F1B778F"/>
    <w:multiLevelType w:val="multilevel"/>
    <w:tmpl w:val="028C23A0"/>
    <w:lvl w:ilvl="0">
      <w:start w:val="1"/>
      <w:numFmt w:val="bullet"/>
      <w:lvlText w:val=""/>
      <w:lvlJc w:val="left"/>
      <w:pPr>
        <w:tabs>
          <w:tab w:val="num" w:pos="360"/>
        </w:tabs>
        <w:ind w:left="360" w:hanging="360"/>
      </w:pPr>
      <w:rPr>
        <w:rFonts w:ascii="Symbol" w:hAnsi="Symbol" w:cs="OpenSymbol" w:hint="default"/>
        <w:sz w:val="22"/>
      </w:rPr>
    </w:lvl>
    <w:lvl w:ilvl="1">
      <w:start w:val="1"/>
      <w:numFmt w:val="bullet"/>
      <w:lvlText w:val="◦"/>
      <w:lvlJc w:val="left"/>
      <w:pPr>
        <w:tabs>
          <w:tab w:val="num" w:pos="720"/>
        </w:tabs>
        <w:ind w:left="720" w:hanging="360"/>
      </w:pPr>
      <w:rPr>
        <w:rFonts w:ascii="OpenSymbol" w:hAnsi="OpenSymbol" w:cs="OpenSymbol" w:hint="default"/>
        <w:sz w:val="22"/>
      </w:rPr>
    </w:lvl>
    <w:lvl w:ilvl="2">
      <w:start w:val="1"/>
      <w:numFmt w:val="bullet"/>
      <w:lvlText w:val="▪"/>
      <w:lvlJc w:val="left"/>
      <w:pPr>
        <w:tabs>
          <w:tab w:val="num" w:pos="1080"/>
        </w:tabs>
        <w:ind w:left="1080" w:hanging="360"/>
      </w:pPr>
      <w:rPr>
        <w:rFonts w:ascii="OpenSymbol" w:hAnsi="OpenSymbol" w:cs="OpenSymbol" w:hint="default"/>
        <w:sz w:val="22"/>
      </w:rPr>
    </w:lvl>
    <w:lvl w:ilvl="3">
      <w:start w:val="1"/>
      <w:numFmt w:val="bullet"/>
      <w:lvlText w:val=""/>
      <w:lvlJc w:val="left"/>
      <w:pPr>
        <w:tabs>
          <w:tab w:val="num" w:pos="1440"/>
        </w:tabs>
        <w:ind w:left="1440" w:hanging="360"/>
      </w:pPr>
      <w:rPr>
        <w:rFonts w:ascii="Symbol" w:hAnsi="Symbol" w:cs="OpenSymbol" w:hint="default"/>
        <w:sz w:val="22"/>
      </w:rPr>
    </w:lvl>
    <w:lvl w:ilvl="4">
      <w:start w:val="1"/>
      <w:numFmt w:val="bullet"/>
      <w:lvlText w:val="◦"/>
      <w:lvlJc w:val="left"/>
      <w:pPr>
        <w:tabs>
          <w:tab w:val="num" w:pos="1800"/>
        </w:tabs>
        <w:ind w:left="1800" w:hanging="360"/>
      </w:pPr>
      <w:rPr>
        <w:rFonts w:ascii="OpenSymbol" w:hAnsi="OpenSymbol" w:cs="OpenSymbol" w:hint="default"/>
        <w:sz w:val="22"/>
      </w:rPr>
    </w:lvl>
    <w:lvl w:ilvl="5">
      <w:start w:val="1"/>
      <w:numFmt w:val="bullet"/>
      <w:lvlText w:val="▪"/>
      <w:lvlJc w:val="left"/>
      <w:pPr>
        <w:tabs>
          <w:tab w:val="num" w:pos="2160"/>
        </w:tabs>
        <w:ind w:left="2160" w:hanging="360"/>
      </w:pPr>
      <w:rPr>
        <w:rFonts w:ascii="OpenSymbol" w:hAnsi="OpenSymbol" w:cs="OpenSymbol" w:hint="default"/>
        <w:sz w:val="22"/>
      </w:rPr>
    </w:lvl>
    <w:lvl w:ilvl="6">
      <w:start w:val="1"/>
      <w:numFmt w:val="bullet"/>
      <w:lvlText w:val=""/>
      <w:lvlJc w:val="left"/>
      <w:pPr>
        <w:tabs>
          <w:tab w:val="num" w:pos="2520"/>
        </w:tabs>
        <w:ind w:left="2520" w:hanging="360"/>
      </w:pPr>
      <w:rPr>
        <w:rFonts w:ascii="Symbol" w:hAnsi="Symbol" w:cs="OpenSymbol" w:hint="default"/>
        <w:sz w:val="22"/>
      </w:rPr>
    </w:lvl>
    <w:lvl w:ilvl="7">
      <w:start w:val="1"/>
      <w:numFmt w:val="bullet"/>
      <w:lvlText w:val="◦"/>
      <w:lvlJc w:val="left"/>
      <w:pPr>
        <w:tabs>
          <w:tab w:val="num" w:pos="2880"/>
        </w:tabs>
        <w:ind w:left="2880" w:hanging="360"/>
      </w:pPr>
      <w:rPr>
        <w:rFonts w:ascii="OpenSymbol" w:hAnsi="OpenSymbol" w:cs="OpenSymbol" w:hint="default"/>
        <w:sz w:val="22"/>
      </w:rPr>
    </w:lvl>
    <w:lvl w:ilvl="8">
      <w:start w:val="1"/>
      <w:numFmt w:val="bullet"/>
      <w:lvlText w:val="▪"/>
      <w:lvlJc w:val="left"/>
      <w:pPr>
        <w:tabs>
          <w:tab w:val="num" w:pos="3240"/>
        </w:tabs>
        <w:ind w:left="3240" w:hanging="360"/>
      </w:pPr>
      <w:rPr>
        <w:rFonts w:ascii="OpenSymbol" w:hAnsi="OpenSymbol" w:cs="OpenSymbol" w:hint="default"/>
        <w:sz w:val="22"/>
      </w:rPr>
    </w:lvl>
  </w:abstractNum>
  <w:abstractNum w:abstractNumId="14">
    <w:nsid w:val="54213F0A"/>
    <w:multiLevelType w:val="multilevel"/>
    <w:tmpl w:val="486A58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61C932D8"/>
    <w:multiLevelType w:val="multilevel"/>
    <w:tmpl w:val="6E006058"/>
    <w:lvl w:ilvl="0">
      <w:start w:val="1"/>
      <w:numFmt w:val="decimal"/>
      <w:pStyle w:val="Heading4"/>
      <w:lvlText w:val="2.3.1.%1"/>
      <w:lvlJc w:val="left"/>
      <w:pPr>
        <w:ind w:left="11" w:hanging="360"/>
      </w:pPr>
    </w:lvl>
    <w:lvl w:ilvl="1">
      <w:start w:val="1"/>
      <w:numFmt w:val="none"/>
      <w:suff w:val="nothing"/>
      <w:lvlText w:val=""/>
      <w:lvlJc w:val="left"/>
      <w:pPr>
        <w:tabs>
          <w:tab w:val="num" w:pos="576"/>
        </w:tabs>
        <w:ind w:left="576" w:hanging="576"/>
      </w:pPr>
    </w:lvl>
    <w:lvl w:ilvl="2">
      <w:start w:val="1"/>
      <w:numFmt w:val="lowerRoman"/>
      <w:pStyle w:val="Heading3"/>
      <w:lvlText w:val="%3."/>
      <w:lvlJc w:val="right"/>
      <w:pPr>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64E31E03"/>
    <w:multiLevelType w:val="multilevel"/>
    <w:tmpl w:val="FB208406"/>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22136C4"/>
    <w:multiLevelType w:val="hybridMultilevel"/>
    <w:tmpl w:val="60DE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53ED5"/>
    <w:multiLevelType w:val="multilevel"/>
    <w:tmpl w:val="483232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77390647"/>
    <w:multiLevelType w:val="hybridMultilevel"/>
    <w:tmpl w:val="06622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D23686"/>
    <w:multiLevelType w:val="multilevel"/>
    <w:tmpl w:val="8D0A615C"/>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362" w:hanging="36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724" w:hanging="72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087" w:hanging="1080"/>
      </w:pPr>
      <w:rPr>
        <w:rFonts w:hint="default"/>
      </w:rPr>
    </w:lvl>
    <w:lvl w:ilvl="8">
      <w:start w:val="1"/>
      <w:numFmt w:val="decimal"/>
      <w:lvlText w:val="%1.%2.%3.%4.%5.%6.%7.%8.%9"/>
      <w:lvlJc w:val="left"/>
      <w:pPr>
        <w:ind w:left="1448" w:hanging="1440"/>
      </w:pPr>
      <w:rPr>
        <w:rFonts w:hint="default"/>
      </w:rPr>
    </w:lvl>
  </w:abstractNum>
  <w:num w:numId="1">
    <w:abstractNumId w:val="15"/>
  </w:num>
  <w:num w:numId="2">
    <w:abstractNumId w:val="13"/>
  </w:num>
  <w:num w:numId="3">
    <w:abstractNumId w:val="8"/>
  </w:num>
  <w:num w:numId="4">
    <w:abstractNumId w:val="6"/>
  </w:num>
  <w:num w:numId="5">
    <w:abstractNumId w:val="5"/>
  </w:num>
  <w:num w:numId="6">
    <w:abstractNumId w:val="11"/>
  </w:num>
  <w:num w:numId="7">
    <w:abstractNumId w:val="1"/>
  </w:num>
  <w:num w:numId="8">
    <w:abstractNumId w:val="4"/>
  </w:num>
  <w:num w:numId="9">
    <w:abstractNumId w:val="12"/>
  </w:num>
  <w:num w:numId="10">
    <w:abstractNumId w:val="20"/>
  </w:num>
  <w:num w:numId="11">
    <w:abstractNumId w:val="19"/>
  </w:num>
  <w:num w:numId="12">
    <w:abstractNumId w:val="10"/>
  </w:num>
  <w:num w:numId="13">
    <w:abstractNumId w:val="0"/>
  </w:num>
  <w:num w:numId="14">
    <w:abstractNumId w:val="3"/>
  </w:num>
  <w:num w:numId="15">
    <w:abstractNumId w:val="16"/>
  </w:num>
  <w:num w:numId="16">
    <w:abstractNumId w:val="17"/>
  </w:num>
  <w:num w:numId="17">
    <w:abstractNumId w:val="7"/>
  </w:num>
  <w:num w:numId="18">
    <w:abstractNumId w:val="9"/>
  </w:num>
  <w:num w:numId="19">
    <w:abstractNumId w:val="2"/>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9"/>
    <w:rsid w:val="000156F9"/>
    <w:rsid w:val="000542F0"/>
    <w:rsid w:val="000A5119"/>
    <w:rsid w:val="0010568B"/>
    <w:rsid w:val="00160988"/>
    <w:rsid w:val="001C6BED"/>
    <w:rsid w:val="001D4FE9"/>
    <w:rsid w:val="001E6513"/>
    <w:rsid w:val="0021144A"/>
    <w:rsid w:val="00257D68"/>
    <w:rsid w:val="00286F81"/>
    <w:rsid w:val="002B6AA4"/>
    <w:rsid w:val="00304A3F"/>
    <w:rsid w:val="0031345C"/>
    <w:rsid w:val="003135B1"/>
    <w:rsid w:val="00317DBD"/>
    <w:rsid w:val="0037212C"/>
    <w:rsid w:val="00374C27"/>
    <w:rsid w:val="00395588"/>
    <w:rsid w:val="004020F1"/>
    <w:rsid w:val="00410E49"/>
    <w:rsid w:val="004C4BA5"/>
    <w:rsid w:val="004E069F"/>
    <w:rsid w:val="0065015F"/>
    <w:rsid w:val="006618CD"/>
    <w:rsid w:val="006A7A62"/>
    <w:rsid w:val="006D048F"/>
    <w:rsid w:val="006D09E4"/>
    <w:rsid w:val="00715988"/>
    <w:rsid w:val="00724A07"/>
    <w:rsid w:val="007840F5"/>
    <w:rsid w:val="00803E37"/>
    <w:rsid w:val="00817840"/>
    <w:rsid w:val="0084776C"/>
    <w:rsid w:val="00863BE0"/>
    <w:rsid w:val="00864E27"/>
    <w:rsid w:val="008A07E2"/>
    <w:rsid w:val="008E27A4"/>
    <w:rsid w:val="008F72F7"/>
    <w:rsid w:val="009000BF"/>
    <w:rsid w:val="00924C00"/>
    <w:rsid w:val="009A54C6"/>
    <w:rsid w:val="009E2894"/>
    <w:rsid w:val="009F5CC8"/>
    <w:rsid w:val="00A45191"/>
    <w:rsid w:val="00AD546C"/>
    <w:rsid w:val="00B01E30"/>
    <w:rsid w:val="00B27969"/>
    <w:rsid w:val="00B628EE"/>
    <w:rsid w:val="00B9469B"/>
    <w:rsid w:val="00BA1A21"/>
    <w:rsid w:val="00BB374E"/>
    <w:rsid w:val="00BD7AE0"/>
    <w:rsid w:val="00C429DF"/>
    <w:rsid w:val="00C77079"/>
    <w:rsid w:val="00C96478"/>
    <w:rsid w:val="00CA751B"/>
    <w:rsid w:val="00CB1091"/>
    <w:rsid w:val="00CD4419"/>
    <w:rsid w:val="00CF11F8"/>
    <w:rsid w:val="00D12868"/>
    <w:rsid w:val="00D959D9"/>
    <w:rsid w:val="00DA02D8"/>
    <w:rsid w:val="00E004F7"/>
    <w:rsid w:val="00E35E61"/>
    <w:rsid w:val="00E36B9A"/>
    <w:rsid w:val="00E60F4A"/>
    <w:rsid w:val="00E65741"/>
    <w:rsid w:val="00E75DC5"/>
    <w:rsid w:val="00E80EA4"/>
    <w:rsid w:val="00E96514"/>
    <w:rsid w:val="00EA1E74"/>
    <w:rsid w:val="00ED3865"/>
    <w:rsid w:val="00F336EC"/>
    <w:rsid w:val="00F35460"/>
    <w:rsid w:val="00F810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3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FA"/>
    <w:pPr>
      <w:widowControl w:val="0"/>
    </w:pPr>
    <w:rPr>
      <w:rFonts w:ascii="Calibri" w:eastAsia="Source Han Sans CN Regular" w:hAnsi="Calibri" w:cs="Lohit Devanagari"/>
      <w:lang w:val="en-GB" w:eastAsia="zh-CN" w:bidi="hi-IN"/>
    </w:rPr>
  </w:style>
  <w:style w:type="paragraph" w:styleId="Heading1">
    <w:name w:val="heading 1"/>
    <w:basedOn w:val="Normal"/>
    <w:next w:val="Normal"/>
    <w:link w:val="Heading1Char"/>
    <w:uiPriority w:val="9"/>
    <w:qFormat/>
    <w:rsid w:val="00BF42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BF4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BF426D"/>
    <w:pPr>
      <w:keepNext/>
      <w:numPr>
        <w:ilvl w:val="2"/>
        <w:numId w:val="1"/>
      </w:numPr>
      <w:spacing w:before="240" w:after="120" w:line="300" w:lineRule="exact"/>
      <w:ind w:left="2880" w:hanging="720"/>
      <w:outlineLvl w:val="2"/>
    </w:pPr>
    <w:rPr>
      <w:rFonts w:eastAsia="Calibri" w:cs="Times New Roman"/>
      <w:b/>
      <w:color w:val="1F497D"/>
      <w:sz w:val="28"/>
      <w:szCs w:val="28"/>
    </w:rPr>
  </w:style>
  <w:style w:type="paragraph" w:styleId="Heading4">
    <w:name w:val="heading 4"/>
    <w:basedOn w:val="Normal"/>
    <w:next w:val="Normal"/>
    <w:link w:val="Heading4Char"/>
    <w:uiPriority w:val="9"/>
    <w:qFormat/>
    <w:rsid w:val="00BF426D"/>
    <w:pPr>
      <w:keepNext/>
      <w:numPr>
        <w:numId w:val="1"/>
      </w:numPr>
      <w:spacing w:before="120" w:after="60" w:line="300" w:lineRule="exact"/>
      <w:ind w:firstLine="0"/>
      <w:outlineLvl w:val="3"/>
    </w:pPr>
    <w:rPr>
      <w:rFonts w:eastAsia="Times New Roman" w:cs="Times New Roman"/>
      <w:b/>
      <w:bCs/>
      <w:color w:val="1F497D"/>
      <w:szCs w:val="28"/>
    </w:rPr>
  </w:style>
  <w:style w:type="paragraph" w:styleId="Heading5">
    <w:name w:val="heading 5"/>
    <w:basedOn w:val="Normal"/>
    <w:next w:val="Normal"/>
    <w:link w:val="Heading5Char"/>
    <w:uiPriority w:val="9"/>
    <w:qFormat/>
    <w:rsid w:val="00BF426D"/>
    <w:pPr>
      <w:spacing w:before="240" w:after="60" w:line="300" w:lineRule="exact"/>
      <w:ind w:left="720"/>
      <w:outlineLvl w:val="4"/>
    </w:pPr>
    <w:rPr>
      <w:rFonts w:ascii="Arial" w:eastAsia="Times New Roman" w:hAnsi="Arial" w:cs="Times New Roman"/>
      <w:b/>
      <w:bCs/>
      <w:iCs/>
      <w:color w:val="1F497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F426D"/>
    <w:rPr>
      <w:rFonts w:asciiTheme="majorHAnsi" w:eastAsiaTheme="majorEastAsia" w:hAnsiTheme="majorHAnsi" w:cstheme="majorBidi"/>
      <w:b/>
      <w:bCs/>
      <w:color w:val="345A8A" w:themeColor="accent1" w:themeShade="B5"/>
      <w:sz w:val="32"/>
      <w:szCs w:val="32"/>
    </w:rPr>
  </w:style>
  <w:style w:type="character" w:customStyle="1" w:styleId="ASIBodyCopyChar">
    <w:name w:val="ASI Body Copy Char"/>
    <w:link w:val="ASIBodyCopy"/>
    <w:qFormat/>
    <w:rsid w:val="00BF426D"/>
    <w:rPr>
      <w:rFonts w:ascii="Euphemia" w:eastAsia="Times New Roman" w:hAnsi="Euphemia" w:cs="Times New Roman"/>
      <w:color w:val="000000"/>
      <w:spacing w:val="0"/>
      <w:sz w:val="18"/>
      <w:szCs w:val="18"/>
    </w:rPr>
  </w:style>
  <w:style w:type="character" w:customStyle="1" w:styleId="ColorfulList-Accent1Char2">
    <w:name w:val="Colorful List - Accent 1 Char2"/>
    <w:uiPriority w:val="34"/>
    <w:qFormat/>
    <w:locked/>
    <w:rsid w:val="00BF426D"/>
    <w:rPr>
      <w:rFonts w:ascii="Calibri" w:eastAsia="Calibri" w:hAnsi="Calibri" w:cs="Times New Roman"/>
      <w:sz w:val="20"/>
      <w:szCs w:val="20"/>
    </w:rPr>
  </w:style>
  <w:style w:type="character" w:customStyle="1" w:styleId="Heading2Char">
    <w:name w:val="Heading 2 Char"/>
    <w:basedOn w:val="DefaultParagraphFont"/>
    <w:link w:val="Heading2"/>
    <w:qFormat/>
    <w:rsid w:val="00BF4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F426D"/>
    <w:rPr>
      <w:rFonts w:ascii="Calibri" w:eastAsia="Calibri" w:hAnsi="Calibri" w:cs="Times New Roman"/>
      <w:b/>
      <w:color w:val="1F497D"/>
      <w:sz w:val="28"/>
      <w:szCs w:val="28"/>
    </w:rPr>
  </w:style>
  <w:style w:type="character" w:customStyle="1" w:styleId="Heading4Char">
    <w:name w:val="Heading 4 Char"/>
    <w:basedOn w:val="DefaultParagraphFont"/>
    <w:link w:val="Heading4"/>
    <w:uiPriority w:val="9"/>
    <w:qFormat/>
    <w:rsid w:val="00BF426D"/>
    <w:rPr>
      <w:rFonts w:ascii="Calibri" w:eastAsia="Times New Roman" w:hAnsi="Calibri" w:cs="Times New Roman"/>
      <w:b/>
      <w:bCs/>
      <w:color w:val="1F497D"/>
      <w:szCs w:val="28"/>
    </w:rPr>
  </w:style>
  <w:style w:type="character" w:customStyle="1" w:styleId="Heading5Char">
    <w:name w:val="Heading 5 Char"/>
    <w:basedOn w:val="DefaultParagraphFont"/>
    <w:link w:val="Heading5"/>
    <w:uiPriority w:val="9"/>
    <w:qFormat/>
    <w:rsid w:val="00BF426D"/>
    <w:rPr>
      <w:rFonts w:ascii="Arial" w:eastAsia="Times New Roman" w:hAnsi="Arial" w:cs="Times New Roman"/>
      <w:b/>
      <w:bCs/>
      <w:iCs/>
      <w:color w:val="1F497D"/>
      <w:szCs w:val="26"/>
      <w:lang w:val="en-GB" w:eastAsia="zh-CN" w:bidi="hi-IN"/>
    </w:rPr>
  </w:style>
  <w:style w:type="character" w:customStyle="1" w:styleId="FootnoteTextChar">
    <w:name w:val="Footnote Text Char"/>
    <w:basedOn w:val="DefaultParagraphFont"/>
    <w:link w:val="FootnoteText"/>
    <w:qFormat/>
    <w:rsid w:val="00BF426D"/>
    <w:rPr>
      <w:rFonts w:ascii="Arial" w:eastAsia="Times New Roman" w:hAnsi="Arial" w:cs="Times New Roman"/>
      <w:sz w:val="20"/>
      <w:szCs w:val="20"/>
      <w:lang w:eastAsia="en-GB"/>
    </w:rPr>
  </w:style>
  <w:style w:type="character" w:customStyle="1" w:styleId="SubtitleChar">
    <w:name w:val="Subtitle Char"/>
    <w:basedOn w:val="DefaultParagraphFont"/>
    <w:link w:val="Subtitle"/>
    <w:uiPriority w:val="11"/>
    <w:qFormat/>
    <w:rsid w:val="00BF426D"/>
    <w:rPr>
      <w:rFonts w:ascii="Cambria" w:eastAsia="Times New Roman" w:hAnsi="Cambria" w:cs="Times New Roman"/>
    </w:rPr>
  </w:style>
  <w:style w:type="character" w:styleId="Strong">
    <w:name w:val="Strong"/>
    <w:uiPriority w:val="22"/>
    <w:qFormat/>
    <w:rsid w:val="00BF426D"/>
    <w:rPr>
      <w:b/>
      <w:bCs/>
    </w:rPr>
  </w:style>
  <w:style w:type="character" w:styleId="Emphasis">
    <w:name w:val="Emphasis"/>
    <w:uiPriority w:val="20"/>
    <w:qFormat/>
    <w:rsid w:val="00BF426D"/>
    <w:rPr>
      <w:i/>
      <w:iCs/>
    </w:rPr>
  </w:style>
  <w:style w:type="character" w:styleId="SubtleEmphasis">
    <w:name w:val="Subtle Emphasis"/>
    <w:uiPriority w:val="19"/>
    <w:qFormat/>
    <w:rsid w:val="00BF426D"/>
    <w:rPr>
      <w:i/>
      <w:iCs/>
      <w:color w:val="404040"/>
    </w:rPr>
  </w:style>
  <w:style w:type="character" w:customStyle="1" w:styleId="BalloonTextChar">
    <w:name w:val="Balloon Text Char"/>
    <w:basedOn w:val="DefaultParagraphFont"/>
    <w:link w:val="BalloonText"/>
    <w:uiPriority w:val="99"/>
    <w:semiHidden/>
    <w:qFormat/>
    <w:rsid w:val="005A07FA"/>
    <w:rPr>
      <w:rFonts w:ascii="Tahoma" w:eastAsia="Source Han Sans CN Regular" w:hAnsi="Tahoma" w:cs="Mangal"/>
      <w:sz w:val="16"/>
      <w:szCs w:val="14"/>
      <w:lang w:val="en-GB" w:eastAsia="zh-CN" w:bidi="hi-IN"/>
    </w:rPr>
  </w:style>
  <w:style w:type="character" w:styleId="FootnoteReference">
    <w:name w:val="footnote reference"/>
    <w:basedOn w:val="DefaultParagraphFont"/>
    <w:uiPriority w:val="99"/>
    <w:semiHidden/>
    <w:unhideWhenUsed/>
    <w:qFormat/>
    <w:rsid w:val="005A07FA"/>
    <w:rPr>
      <w:vertAlign w:val="superscript"/>
    </w:rPr>
  </w:style>
  <w:style w:type="character" w:customStyle="1" w:styleId="ListLabel1">
    <w:name w:val="ListLabel 1"/>
    <w:qFormat/>
    <w:rPr>
      <w:rFonts w:cs="Wingdings"/>
    </w:rPr>
  </w:style>
  <w:style w:type="character" w:customStyle="1" w:styleId="ListLabel2">
    <w:name w:val="ListLabel 2"/>
    <w:qFormat/>
    <w:rPr>
      <w:rFonts w:cs="OpenSymbol"/>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next w:val="Normal"/>
    <w:unhideWhenUsed/>
    <w:qFormat/>
    <w:rsid w:val="00BF426D"/>
    <w:pPr>
      <w:spacing w:after="200"/>
    </w:pPr>
    <w:rPr>
      <w:b/>
      <w:bCs/>
      <w:color w:val="4F81BD" w:themeColor="accent1"/>
      <w:sz w:val="18"/>
      <w:szCs w:val="18"/>
    </w:rPr>
  </w:style>
  <w:style w:type="paragraph" w:customStyle="1" w:styleId="Index">
    <w:name w:val="Index"/>
    <w:basedOn w:val="Normal"/>
    <w:qFormat/>
    <w:pPr>
      <w:suppressLineNumbers/>
    </w:pPr>
  </w:style>
  <w:style w:type="paragraph" w:customStyle="1" w:styleId="Normal0">
    <w:name w:val="[Normal]"/>
    <w:qFormat/>
    <w:rsid w:val="00BF426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customStyle="1" w:styleId="TOCHeading1">
    <w:name w:val="TOC Heading1"/>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ColorfulList-Accent11">
    <w:name w:val="Colorful List - Accent 11"/>
    <w:basedOn w:val="Normal"/>
    <w:uiPriority w:val="99"/>
    <w:qFormat/>
    <w:rsid w:val="00BF426D"/>
    <w:pPr>
      <w:spacing w:after="240" w:line="300" w:lineRule="exact"/>
      <w:ind w:left="720"/>
      <w:contextualSpacing/>
    </w:pPr>
    <w:rPr>
      <w:rFonts w:ascii="Arial" w:eastAsia="Calibri" w:hAnsi="Arial" w:cs="Times New Roman"/>
      <w:sz w:val="22"/>
      <w:szCs w:val="22"/>
      <w:lang w:val="en-US"/>
    </w:rPr>
  </w:style>
  <w:style w:type="paragraph" w:customStyle="1" w:styleId="MediumGrid1-Accent21">
    <w:name w:val="Medium Grid 1 - Accent 21"/>
    <w:basedOn w:val="Normal"/>
    <w:uiPriority w:val="34"/>
    <w:qFormat/>
    <w:rsid w:val="00BF426D"/>
    <w:pPr>
      <w:suppressAutoHyphens/>
      <w:ind w:left="720"/>
      <w:contextualSpacing/>
    </w:pPr>
    <w:rPr>
      <w:rFonts w:ascii="Times New Roman" w:eastAsia="Times New Roman" w:hAnsi="Times New Roman" w:cs="Times New Roman"/>
      <w:lang w:eastAsia="ar-SA"/>
    </w:rPr>
  </w:style>
  <w:style w:type="paragraph" w:customStyle="1" w:styleId="MediumGrid21">
    <w:name w:val="Medium Grid 21"/>
    <w:uiPriority w:val="1"/>
    <w:qFormat/>
    <w:rsid w:val="00BF426D"/>
    <w:rPr>
      <w:rFonts w:ascii="Calibri" w:eastAsia="Calibri" w:hAnsi="Calibri" w:cs="Times New Roman"/>
      <w:sz w:val="22"/>
      <w:szCs w:val="22"/>
    </w:rPr>
  </w:style>
  <w:style w:type="paragraph" w:customStyle="1" w:styleId="ASIBodyCopy">
    <w:name w:val="ASI Body Copy"/>
    <w:basedOn w:val="Normal"/>
    <w:link w:val="ASIBodyCopyChar"/>
    <w:qFormat/>
    <w:rsid w:val="00BF426D"/>
    <w:pPr>
      <w:spacing w:before="57" w:after="113" w:line="240" w:lineRule="exact"/>
      <w:jc w:val="both"/>
    </w:pPr>
    <w:rPr>
      <w:rFonts w:ascii="Euphemia" w:eastAsia="Times New Roman" w:hAnsi="Euphemia" w:cs="Times New Roman"/>
      <w:color w:val="000000"/>
      <w:sz w:val="18"/>
      <w:szCs w:val="18"/>
    </w:rPr>
  </w:style>
  <w:style w:type="paragraph" w:customStyle="1" w:styleId="ColorfulList-Accent12">
    <w:name w:val="Colorful List - Accent 12"/>
    <w:basedOn w:val="Normal"/>
    <w:uiPriority w:val="34"/>
    <w:qFormat/>
    <w:rsid w:val="00BF426D"/>
    <w:pPr>
      <w:spacing w:after="200" w:line="276" w:lineRule="auto"/>
      <w:ind w:left="720"/>
      <w:contextualSpacing/>
    </w:pPr>
    <w:rPr>
      <w:rFonts w:eastAsia="Calibri" w:cs="Times New Roman"/>
      <w:sz w:val="20"/>
      <w:szCs w:val="20"/>
    </w:rPr>
  </w:style>
  <w:style w:type="paragraph" w:customStyle="1" w:styleId="En-ttedetabledesmatires1">
    <w:name w:val="En-tête de table des matières1"/>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Grillemoyenne21">
    <w:name w:val="Grille moyenne 21"/>
    <w:uiPriority w:val="1"/>
    <w:qFormat/>
    <w:rsid w:val="00BF426D"/>
    <w:rPr>
      <w:rFonts w:ascii="Calibri" w:eastAsia="Calibri" w:hAnsi="Calibri" w:cs="Times New Roman"/>
      <w:sz w:val="22"/>
      <w:szCs w:val="22"/>
    </w:rPr>
  </w:style>
  <w:style w:type="paragraph" w:customStyle="1" w:styleId="MediumGrid22">
    <w:name w:val="Medium Grid 22"/>
    <w:uiPriority w:val="1"/>
    <w:qFormat/>
    <w:rsid w:val="00BF426D"/>
    <w:rPr>
      <w:rFonts w:ascii="Calibri" w:eastAsia="Calibri" w:hAnsi="Calibri" w:cs="Times New Roman"/>
      <w:sz w:val="22"/>
      <w:szCs w:val="22"/>
    </w:rPr>
  </w:style>
  <w:style w:type="paragraph" w:customStyle="1" w:styleId="GRMCVBodyText">
    <w:name w:val="GRM CV Body Text"/>
    <w:basedOn w:val="Normal"/>
    <w:qFormat/>
    <w:rsid w:val="00BF426D"/>
    <w:pPr>
      <w:suppressAutoHyphens/>
      <w:spacing w:after="170" w:line="288" w:lineRule="auto"/>
      <w:textAlignment w:val="center"/>
    </w:pPr>
    <w:rPr>
      <w:rFonts w:ascii="Arial" w:eastAsia="MS Mincho" w:hAnsi="Arial" w:cs="Arial"/>
      <w:sz w:val="20"/>
      <w:szCs w:val="20"/>
    </w:rPr>
  </w:style>
  <w:style w:type="paragraph" w:customStyle="1" w:styleId="NoteLevel21">
    <w:name w:val="Note Level 21"/>
    <w:basedOn w:val="Normal"/>
    <w:uiPriority w:val="1"/>
    <w:qFormat/>
    <w:rsid w:val="00BF426D"/>
    <w:pPr>
      <w:keepNext/>
      <w:spacing w:after="200" w:line="276" w:lineRule="auto"/>
      <w:contextualSpacing/>
      <w:outlineLvl w:val="1"/>
    </w:pPr>
    <w:rPr>
      <w:rFonts w:ascii="Verdana" w:eastAsia="Calibri" w:hAnsi="Verdana" w:cs="Times New Roman"/>
      <w:sz w:val="22"/>
      <w:szCs w:val="22"/>
    </w:rPr>
  </w:style>
  <w:style w:type="paragraph" w:styleId="FootnoteText">
    <w:name w:val="footnote text"/>
    <w:basedOn w:val="Normal"/>
    <w:link w:val="FootnoteTextChar"/>
    <w:unhideWhenUsed/>
    <w:qFormat/>
    <w:rsid w:val="00BF426D"/>
    <w:pPr>
      <w:spacing w:after="57" w:line="300" w:lineRule="exact"/>
    </w:pPr>
    <w:rPr>
      <w:rFonts w:ascii="Arial" w:eastAsia="Times New Roman" w:hAnsi="Arial" w:cs="Times New Roman"/>
      <w:sz w:val="20"/>
      <w:szCs w:val="20"/>
      <w:lang w:eastAsia="en-GB"/>
    </w:rPr>
  </w:style>
  <w:style w:type="paragraph" w:styleId="Subtitle">
    <w:name w:val="Subtitle"/>
    <w:basedOn w:val="Normal"/>
    <w:next w:val="Normal"/>
    <w:link w:val="SubtitleChar"/>
    <w:uiPriority w:val="11"/>
    <w:qFormat/>
    <w:rsid w:val="00BF426D"/>
    <w:pPr>
      <w:spacing w:after="60" w:line="300" w:lineRule="exact"/>
      <w:jc w:val="center"/>
      <w:outlineLvl w:val="1"/>
    </w:pPr>
    <w:rPr>
      <w:rFonts w:ascii="Cambria" w:eastAsia="Times New Roman" w:hAnsi="Cambria" w:cs="Times New Roman"/>
    </w:rPr>
  </w:style>
  <w:style w:type="paragraph" w:styleId="NoSpacing">
    <w:name w:val="No Spacing"/>
    <w:uiPriority w:val="1"/>
    <w:qFormat/>
    <w:rsid w:val="00BF426D"/>
    <w:rPr>
      <w:rFonts w:ascii="Calibri" w:eastAsia="Calibri" w:hAnsi="Calibri" w:cs="Times New Roman"/>
      <w:sz w:val="22"/>
      <w:szCs w:val="22"/>
    </w:rPr>
  </w:style>
  <w:style w:type="paragraph" w:styleId="ListParagraph">
    <w:name w:val="List Paragraph"/>
    <w:basedOn w:val="Normal"/>
    <w:uiPriority w:val="34"/>
    <w:qFormat/>
    <w:rsid w:val="00BF426D"/>
    <w:pPr>
      <w:ind w:left="720"/>
      <w:contextualSpacing/>
    </w:pPr>
  </w:style>
  <w:style w:type="paragraph" w:styleId="TOCHeading">
    <w:name w:val="TOC Heading"/>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TableContents">
    <w:name w:val="Table Contents"/>
    <w:basedOn w:val="Normal"/>
    <w:qFormat/>
    <w:rsid w:val="005A07FA"/>
    <w:pPr>
      <w:suppressLineNumbers/>
    </w:pPr>
  </w:style>
  <w:style w:type="paragraph" w:styleId="BalloonText">
    <w:name w:val="Balloon Text"/>
    <w:basedOn w:val="Normal"/>
    <w:link w:val="BalloonTextChar"/>
    <w:uiPriority w:val="99"/>
    <w:semiHidden/>
    <w:unhideWhenUsed/>
    <w:qFormat/>
    <w:rsid w:val="005A07FA"/>
    <w:rPr>
      <w:rFonts w:ascii="Tahoma" w:hAnsi="Tahoma" w:cs="Mangal"/>
      <w:sz w:val="16"/>
      <w:szCs w:val="14"/>
    </w:rPr>
  </w:style>
  <w:style w:type="paragraph" w:customStyle="1" w:styleId="Footnote">
    <w:name w:val="Footnote"/>
    <w:basedOn w:val="Normal"/>
  </w:style>
  <w:style w:type="table" w:styleId="TableGrid">
    <w:name w:val="Table Grid"/>
    <w:basedOn w:val="TableNormal"/>
    <w:uiPriority w:val="59"/>
    <w:rsid w:val="005A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5119"/>
    <w:rPr>
      <w:sz w:val="18"/>
      <w:szCs w:val="18"/>
    </w:rPr>
  </w:style>
  <w:style w:type="paragraph" w:styleId="CommentText">
    <w:name w:val="annotation text"/>
    <w:basedOn w:val="Normal"/>
    <w:link w:val="CommentTextChar"/>
    <w:uiPriority w:val="99"/>
    <w:semiHidden/>
    <w:unhideWhenUsed/>
    <w:rsid w:val="000A5119"/>
  </w:style>
  <w:style w:type="character" w:customStyle="1" w:styleId="CommentTextChar">
    <w:name w:val="Comment Text Char"/>
    <w:basedOn w:val="DefaultParagraphFont"/>
    <w:link w:val="CommentText"/>
    <w:uiPriority w:val="99"/>
    <w:semiHidden/>
    <w:rsid w:val="000A5119"/>
    <w:rPr>
      <w:rFonts w:ascii="Calibri" w:eastAsia="Source Han Sans CN Regular" w:hAnsi="Calibri" w:cs="Lohit Devanagari"/>
      <w:lang w:val="en-GB" w:eastAsia="zh-CN" w:bidi="hi-IN"/>
    </w:rPr>
  </w:style>
  <w:style w:type="paragraph" w:styleId="CommentSubject">
    <w:name w:val="annotation subject"/>
    <w:basedOn w:val="CommentText"/>
    <w:next w:val="CommentText"/>
    <w:link w:val="CommentSubjectChar"/>
    <w:uiPriority w:val="99"/>
    <w:semiHidden/>
    <w:unhideWhenUsed/>
    <w:rsid w:val="000A5119"/>
    <w:rPr>
      <w:b/>
      <w:bCs/>
      <w:sz w:val="20"/>
      <w:szCs w:val="20"/>
    </w:rPr>
  </w:style>
  <w:style w:type="character" w:customStyle="1" w:styleId="CommentSubjectChar">
    <w:name w:val="Comment Subject Char"/>
    <w:basedOn w:val="CommentTextChar"/>
    <w:link w:val="CommentSubject"/>
    <w:uiPriority w:val="99"/>
    <w:semiHidden/>
    <w:rsid w:val="000A5119"/>
    <w:rPr>
      <w:rFonts w:ascii="Calibri" w:eastAsia="Source Han Sans CN Regular" w:hAnsi="Calibri" w:cs="Lohit Devanagari"/>
      <w:b/>
      <w:bCs/>
      <w:sz w:val="20"/>
      <w:szCs w:val="20"/>
      <w:lang w:val="en-GB" w:eastAsia="zh-CN" w:bidi="hi-IN"/>
    </w:rPr>
  </w:style>
  <w:style w:type="paragraph" w:styleId="Revision">
    <w:name w:val="Revision"/>
    <w:hidden/>
    <w:uiPriority w:val="99"/>
    <w:semiHidden/>
    <w:rsid w:val="00E35E61"/>
    <w:rPr>
      <w:rFonts w:ascii="Calibri" w:eastAsia="Source Han Sans CN Regular" w:hAnsi="Calibri" w:cs="Lohit Devanagari"/>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FA"/>
    <w:pPr>
      <w:widowControl w:val="0"/>
    </w:pPr>
    <w:rPr>
      <w:rFonts w:ascii="Calibri" w:eastAsia="Source Han Sans CN Regular" w:hAnsi="Calibri" w:cs="Lohit Devanagari"/>
      <w:lang w:val="en-GB" w:eastAsia="zh-CN" w:bidi="hi-IN"/>
    </w:rPr>
  </w:style>
  <w:style w:type="paragraph" w:styleId="Heading1">
    <w:name w:val="heading 1"/>
    <w:basedOn w:val="Normal"/>
    <w:next w:val="Normal"/>
    <w:link w:val="Heading1Char"/>
    <w:uiPriority w:val="9"/>
    <w:qFormat/>
    <w:rsid w:val="00BF42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BF4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BF426D"/>
    <w:pPr>
      <w:keepNext/>
      <w:numPr>
        <w:ilvl w:val="2"/>
        <w:numId w:val="1"/>
      </w:numPr>
      <w:spacing w:before="240" w:after="120" w:line="300" w:lineRule="exact"/>
      <w:ind w:left="2880" w:hanging="720"/>
      <w:outlineLvl w:val="2"/>
    </w:pPr>
    <w:rPr>
      <w:rFonts w:eastAsia="Calibri" w:cs="Times New Roman"/>
      <w:b/>
      <w:color w:val="1F497D"/>
      <w:sz w:val="28"/>
      <w:szCs w:val="28"/>
    </w:rPr>
  </w:style>
  <w:style w:type="paragraph" w:styleId="Heading4">
    <w:name w:val="heading 4"/>
    <w:basedOn w:val="Normal"/>
    <w:next w:val="Normal"/>
    <w:link w:val="Heading4Char"/>
    <w:uiPriority w:val="9"/>
    <w:qFormat/>
    <w:rsid w:val="00BF426D"/>
    <w:pPr>
      <w:keepNext/>
      <w:numPr>
        <w:numId w:val="1"/>
      </w:numPr>
      <w:spacing w:before="120" w:after="60" w:line="300" w:lineRule="exact"/>
      <w:ind w:firstLine="0"/>
      <w:outlineLvl w:val="3"/>
    </w:pPr>
    <w:rPr>
      <w:rFonts w:eastAsia="Times New Roman" w:cs="Times New Roman"/>
      <w:b/>
      <w:bCs/>
      <w:color w:val="1F497D"/>
      <w:szCs w:val="28"/>
    </w:rPr>
  </w:style>
  <w:style w:type="paragraph" w:styleId="Heading5">
    <w:name w:val="heading 5"/>
    <w:basedOn w:val="Normal"/>
    <w:next w:val="Normal"/>
    <w:link w:val="Heading5Char"/>
    <w:uiPriority w:val="9"/>
    <w:qFormat/>
    <w:rsid w:val="00BF426D"/>
    <w:pPr>
      <w:spacing w:before="240" w:after="60" w:line="300" w:lineRule="exact"/>
      <w:ind w:left="720"/>
      <w:outlineLvl w:val="4"/>
    </w:pPr>
    <w:rPr>
      <w:rFonts w:ascii="Arial" w:eastAsia="Times New Roman" w:hAnsi="Arial" w:cs="Times New Roman"/>
      <w:b/>
      <w:bCs/>
      <w:iCs/>
      <w:color w:val="1F497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F426D"/>
    <w:rPr>
      <w:rFonts w:asciiTheme="majorHAnsi" w:eastAsiaTheme="majorEastAsia" w:hAnsiTheme="majorHAnsi" w:cstheme="majorBidi"/>
      <w:b/>
      <w:bCs/>
      <w:color w:val="345A8A" w:themeColor="accent1" w:themeShade="B5"/>
      <w:sz w:val="32"/>
      <w:szCs w:val="32"/>
    </w:rPr>
  </w:style>
  <w:style w:type="character" w:customStyle="1" w:styleId="ASIBodyCopyChar">
    <w:name w:val="ASI Body Copy Char"/>
    <w:link w:val="ASIBodyCopy"/>
    <w:qFormat/>
    <w:rsid w:val="00BF426D"/>
    <w:rPr>
      <w:rFonts w:ascii="Euphemia" w:eastAsia="Times New Roman" w:hAnsi="Euphemia" w:cs="Times New Roman"/>
      <w:color w:val="000000"/>
      <w:spacing w:val="0"/>
      <w:sz w:val="18"/>
      <w:szCs w:val="18"/>
    </w:rPr>
  </w:style>
  <w:style w:type="character" w:customStyle="1" w:styleId="ColorfulList-Accent1Char2">
    <w:name w:val="Colorful List - Accent 1 Char2"/>
    <w:uiPriority w:val="34"/>
    <w:qFormat/>
    <w:locked/>
    <w:rsid w:val="00BF426D"/>
    <w:rPr>
      <w:rFonts w:ascii="Calibri" w:eastAsia="Calibri" w:hAnsi="Calibri" w:cs="Times New Roman"/>
      <w:sz w:val="20"/>
      <w:szCs w:val="20"/>
    </w:rPr>
  </w:style>
  <w:style w:type="character" w:customStyle="1" w:styleId="Heading2Char">
    <w:name w:val="Heading 2 Char"/>
    <w:basedOn w:val="DefaultParagraphFont"/>
    <w:link w:val="Heading2"/>
    <w:qFormat/>
    <w:rsid w:val="00BF4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F426D"/>
    <w:rPr>
      <w:rFonts w:ascii="Calibri" w:eastAsia="Calibri" w:hAnsi="Calibri" w:cs="Times New Roman"/>
      <w:b/>
      <w:color w:val="1F497D"/>
      <w:sz w:val="28"/>
      <w:szCs w:val="28"/>
    </w:rPr>
  </w:style>
  <w:style w:type="character" w:customStyle="1" w:styleId="Heading4Char">
    <w:name w:val="Heading 4 Char"/>
    <w:basedOn w:val="DefaultParagraphFont"/>
    <w:link w:val="Heading4"/>
    <w:uiPriority w:val="9"/>
    <w:qFormat/>
    <w:rsid w:val="00BF426D"/>
    <w:rPr>
      <w:rFonts w:ascii="Calibri" w:eastAsia="Times New Roman" w:hAnsi="Calibri" w:cs="Times New Roman"/>
      <w:b/>
      <w:bCs/>
      <w:color w:val="1F497D"/>
      <w:szCs w:val="28"/>
    </w:rPr>
  </w:style>
  <w:style w:type="character" w:customStyle="1" w:styleId="Heading5Char">
    <w:name w:val="Heading 5 Char"/>
    <w:basedOn w:val="DefaultParagraphFont"/>
    <w:link w:val="Heading5"/>
    <w:uiPriority w:val="9"/>
    <w:qFormat/>
    <w:rsid w:val="00BF426D"/>
    <w:rPr>
      <w:rFonts w:ascii="Arial" w:eastAsia="Times New Roman" w:hAnsi="Arial" w:cs="Times New Roman"/>
      <w:b/>
      <w:bCs/>
      <w:iCs/>
      <w:color w:val="1F497D"/>
      <w:szCs w:val="26"/>
      <w:lang w:val="en-GB" w:eastAsia="zh-CN" w:bidi="hi-IN"/>
    </w:rPr>
  </w:style>
  <w:style w:type="character" w:customStyle="1" w:styleId="FootnoteTextChar">
    <w:name w:val="Footnote Text Char"/>
    <w:basedOn w:val="DefaultParagraphFont"/>
    <w:link w:val="FootnoteText"/>
    <w:qFormat/>
    <w:rsid w:val="00BF426D"/>
    <w:rPr>
      <w:rFonts w:ascii="Arial" w:eastAsia="Times New Roman" w:hAnsi="Arial" w:cs="Times New Roman"/>
      <w:sz w:val="20"/>
      <w:szCs w:val="20"/>
      <w:lang w:eastAsia="en-GB"/>
    </w:rPr>
  </w:style>
  <w:style w:type="character" w:customStyle="1" w:styleId="SubtitleChar">
    <w:name w:val="Subtitle Char"/>
    <w:basedOn w:val="DefaultParagraphFont"/>
    <w:link w:val="Subtitle"/>
    <w:uiPriority w:val="11"/>
    <w:qFormat/>
    <w:rsid w:val="00BF426D"/>
    <w:rPr>
      <w:rFonts w:ascii="Cambria" w:eastAsia="Times New Roman" w:hAnsi="Cambria" w:cs="Times New Roman"/>
    </w:rPr>
  </w:style>
  <w:style w:type="character" w:styleId="Strong">
    <w:name w:val="Strong"/>
    <w:uiPriority w:val="22"/>
    <w:qFormat/>
    <w:rsid w:val="00BF426D"/>
    <w:rPr>
      <w:b/>
      <w:bCs/>
    </w:rPr>
  </w:style>
  <w:style w:type="character" w:styleId="Emphasis">
    <w:name w:val="Emphasis"/>
    <w:uiPriority w:val="20"/>
    <w:qFormat/>
    <w:rsid w:val="00BF426D"/>
    <w:rPr>
      <w:i/>
      <w:iCs/>
    </w:rPr>
  </w:style>
  <w:style w:type="character" w:styleId="SubtleEmphasis">
    <w:name w:val="Subtle Emphasis"/>
    <w:uiPriority w:val="19"/>
    <w:qFormat/>
    <w:rsid w:val="00BF426D"/>
    <w:rPr>
      <w:i/>
      <w:iCs/>
      <w:color w:val="404040"/>
    </w:rPr>
  </w:style>
  <w:style w:type="character" w:customStyle="1" w:styleId="BalloonTextChar">
    <w:name w:val="Balloon Text Char"/>
    <w:basedOn w:val="DefaultParagraphFont"/>
    <w:link w:val="BalloonText"/>
    <w:uiPriority w:val="99"/>
    <w:semiHidden/>
    <w:qFormat/>
    <w:rsid w:val="005A07FA"/>
    <w:rPr>
      <w:rFonts w:ascii="Tahoma" w:eastAsia="Source Han Sans CN Regular" w:hAnsi="Tahoma" w:cs="Mangal"/>
      <w:sz w:val="16"/>
      <w:szCs w:val="14"/>
      <w:lang w:val="en-GB" w:eastAsia="zh-CN" w:bidi="hi-IN"/>
    </w:rPr>
  </w:style>
  <w:style w:type="character" w:styleId="FootnoteReference">
    <w:name w:val="footnote reference"/>
    <w:basedOn w:val="DefaultParagraphFont"/>
    <w:uiPriority w:val="99"/>
    <w:semiHidden/>
    <w:unhideWhenUsed/>
    <w:qFormat/>
    <w:rsid w:val="005A07FA"/>
    <w:rPr>
      <w:vertAlign w:val="superscript"/>
    </w:rPr>
  </w:style>
  <w:style w:type="character" w:customStyle="1" w:styleId="ListLabel1">
    <w:name w:val="ListLabel 1"/>
    <w:qFormat/>
    <w:rPr>
      <w:rFonts w:cs="Wingdings"/>
    </w:rPr>
  </w:style>
  <w:style w:type="character" w:customStyle="1" w:styleId="ListLabel2">
    <w:name w:val="ListLabel 2"/>
    <w:qFormat/>
    <w:rPr>
      <w:rFonts w:cs="OpenSymbol"/>
      <w:sz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next w:val="Normal"/>
    <w:unhideWhenUsed/>
    <w:qFormat/>
    <w:rsid w:val="00BF426D"/>
    <w:pPr>
      <w:spacing w:after="200"/>
    </w:pPr>
    <w:rPr>
      <w:b/>
      <w:bCs/>
      <w:color w:val="4F81BD" w:themeColor="accent1"/>
      <w:sz w:val="18"/>
      <w:szCs w:val="18"/>
    </w:rPr>
  </w:style>
  <w:style w:type="paragraph" w:customStyle="1" w:styleId="Index">
    <w:name w:val="Index"/>
    <w:basedOn w:val="Normal"/>
    <w:qFormat/>
    <w:pPr>
      <w:suppressLineNumbers/>
    </w:pPr>
  </w:style>
  <w:style w:type="paragraph" w:customStyle="1" w:styleId="Normal0">
    <w:name w:val="[Normal]"/>
    <w:qFormat/>
    <w:rsid w:val="00BF426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customStyle="1" w:styleId="TOCHeading1">
    <w:name w:val="TOC Heading1"/>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ColorfulList-Accent11">
    <w:name w:val="Colorful List - Accent 11"/>
    <w:basedOn w:val="Normal"/>
    <w:uiPriority w:val="99"/>
    <w:qFormat/>
    <w:rsid w:val="00BF426D"/>
    <w:pPr>
      <w:spacing w:after="240" w:line="300" w:lineRule="exact"/>
      <w:ind w:left="720"/>
      <w:contextualSpacing/>
    </w:pPr>
    <w:rPr>
      <w:rFonts w:ascii="Arial" w:eastAsia="Calibri" w:hAnsi="Arial" w:cs="Times New Roman"/>
      <w:sz w:val="22"/>
      <w:szCs w:val="22"/>
      <w:lang w:val="en-US"/>
    </w:rPr>
  </w:style>
  <w:style w:type="paragraph" w:customStyle="1" w:styleId="MediumGrid1-Accent21">
    <w:name w:val="Medium Grid 1 - Accent 21"/>
    <w:basedOn w:val="Normal"/>
    <w:uiPriority w:val="34"/>
    <w:qFormat/>
    <w:rsid w:val="00BF426D"/>
    <w:pPr>
      <w:suppressAutoHyphens/>
      <w:ind w:left="720"/>
      <w:contextualSpacing/>
    </w:pPr>
    <w:rPr>
      <w:rFonts w:ascii="Times New Roman" w:eastAsia="Times New Roman" w:hAnsi="Times New Roman" w:cs="Times New Roman"/>
      <w:lang w:eastAsia="ar-SA"/>
    </w:rPr>
  </w:style>
  <w:style w:type="paragraph" w:customStyle="1" w:styleId="MediumGrid21">
    <w:name w:val="Medium Grid 21"/>
    <w:uiPriority w:val="1"/>
    <w:qFormat/>
    <w:rsid w:val="00BF426D"/>
    <w:rPr>
      <w:rFonts w:ascii="Calibri" w:eastAsia="Calibri" w:hAnsi="Calibri" w:cs="Times New Roman"/>
      <w:sz w:val="22"/>
      <w:szCs w:val="22"/>
    </w:rPr>
  </w:style>
  <w:style w:type="paragraph" w:customStyle="1" w:styleId="ASIBodyCopy">
    <w:name w:val="ASI Body Copy"/>
    <w:basedOn w:val="Normal"/>
    <w:link w:val="ASIBodyCopyChar"/>
    <w:qFormat/>
    <w:rsid w:val="00BF426D"/>
    <w:pPr>
      <w:spacing w:before="57" w:after="113" w:line="240" w:lineRule="exact"/>
      <w:jc w:val="both"/>
    </w:pPr>
    <w:rPr>
      <w:rFonts w:ascii="Euphemia" w:eastAsia="Times New Roman" w:hAnsi="Euphemia" w:cs="Times New Roman"/>
      <w:color w:val="000000"/>
      <w:sz w:val="18"/>
      <w:szCs w:val="18"/>
    </w:rPr>
  </w:style>
  <w:style w:type="paragraph" w:customStyle="1" w:styleId="ColorfulList-Accent12">
    <w:name w:val="Colorful List - Accent 12"/>
    <w:basedOn w:val="Normal"/>
    <w:uiPriority w:val="34"/>
    <w:qFormat/>
    <w:rsid w:val="00BF426D"/>
    <w:pPr>
      <w:spacing w:after="200" w:line="276" w:lineRule="auto"/>
      <w:ind w:left="720"/>
      <w:contextualSpacing/>
    </w:pPr>
    <w:rPr>
      <w:rFonts w:eastAsia="Calibri" w:cs="Times New Roman"/>
      <w:sz w:val="20"/>
      <w:szCs w:val="20"/>
    </w:rPr>
  </w:style>
  <w:style w:type="paragraph" w:customStyle="1" w:styleId="En-ttedetabledesmatires1">
    <w:name w:val="En-tête de table des matières1"/>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Grillemoyenne21">
    <w:name w:val="Grille moyenne 21"/>
    <w:uiPriority w:val="1"/>
    <w:qFormat/>
    <w:rsid w:val="00BF426D"/>
    <w:rPr>
      <w:rFonts w:ascii="Calibri" w:eastAsia="Calibri" w:hAnsi="Calibri" w:cs="Times New Roman"/>
      <w:sz w:val="22"/>
      <w:szCs w:val="22"/>
    </w:rPr>
  </w:style>
  <w:style w:type="paragraph" w:customStyle="1" w:styleId="MediumGrid22">
    <w:name w:val="Medium Grid 22"/>
    <w:uiPriority w:val="1"/>
    <w:qFormat/>
    <w:rsid w:val="00BF426D"/>
    <w:rPr>
      <w:rFonts w:ascii="Calibri" w:eastAsia="Calibri" w:hAnsi="Calibri" w:cs="Times New Roman"/>
      <w:sz w:val="22"/>
      <w:szCs w:val="22"/>
    </w:rPr>
  </w:style>
  <w:style w:type="paragraph" w:customStyle="1" w:styleId="GRMCVBodyText">
    <w:name w:val="GRM CV Body Text"/>
    <w:basedOn w:val="Normal"/>
    <w:qFormat/>
    <w:rsid w:val="00BF426D"/>
    <w:pPr>
      <w:suppressAutoHyphens/>
      <w:spacing w:after="170" w:line="288" w:lineRule="auto"/>
      <w:textAlignment w:val="center"/>
    </w:pPr>
    <w:rPr>
      <w:rFonts w:ascii="Arial" w:eastAsia="MS Mincho" w:hAnsi="Arial" w:cs="Arial"/>
      <w:sz w:val="20"/>
      <w:szCs w:val="20"/>
    </w:rPr>
  </w:style>
  <w:style w:type="paragraph" w:customStyle="1" w:styleId="NoteLevel21">
    <w:name w:val="Note Level 21"/>
    <w:basedOn w:val="Normal"/>
    <w:uiPriority w:val="1"/>
    <w:qFormat/>
    <w:rsid w:val="00BF426D"/>
    <w:pPr>
      <w:keepNext/>
      <w:spacing w:after="200" w:line="276" w:lineRule="auto"/>
      <w:contextualSpacing/>
      <w:outlineLvl w:val="1"/>
    </w:pPr>
    <w:rPr>
      <w:rFonts w:ascii="Verdana" w:eastAsia="Calibri" w:hAnsi="Verdana" w:cs="Times New Roman"/>
      <w:sz w:val="22"/>
      <w:szCs w:val="22"/>
    </w:rPr>
  </w:style>
  <w:style w:type="paragraph" w:styleId="FootnoteText">
    <w:name w:val="footnote text"/>
    <w:basedOn w:val="Normal"/>
    <w:link w:val="FootnoteTextChar"/>
    <w:unhideWhenUsed/>
    <w:qFormat/>
    <w:rsid w:val="00BF426D"/>
    <w:pPr>
      <w:spacing w:after="57" w:line="300" w:lineRule="exact"/>
    </w:pPr>
    <w:rPr>
      <w:rFonts w:ascii="Arial" w:eastAsia="Times New Roman" w:hAnsi="Arial" w:cs="Times New Roman"/>
      <w:sz w:val="20"/>
      <w:szCs w:val="20"/>
      <w:lang w:eastAsia="en-GB"/>
    </w:rPr>
  </w:style>
  <w:style w:type="paragraph" w:styleId="Subtitle">
    <w:name w:val="Subtitle"/>
    <w:basedOn w:val="Normal"/>
    <w:next w:val="Normal"/>
    <w:link w:val="SubtitleChar"/>
    <w:uiPriority w:val="11"/>
    <w:qFormat/>
    <w:rsid w:val="00BF426D"/>
    <w:pPr>
      <w:spacing w:after="60" w:line="300" w:lineRule="exact"/>
      <w:jc w:val="center"/>
      <w:outlineLvl w:val="1"/>
    </w:pPr>
    <w:rPr>
      <w:rFonts w:ascii="Cambria" w:eastAsia="Times New Roman" w:hAnsi="Cambria" w:cs="Times New Roman"/>
    </w:rPr>
  </w:style>
  <w:style w:type="paragraph" w:styleId="NoSpacing">
    <w:name w:val="No Spacing"/>
    <w:uiPriority w:val="1"/>
    <w:qFormat/>
    <w:rsid w:val="00BF426D"/>
    <w:rPr>
      <w:rFonts w:ascii="Calibri" w:eastAsia="Calibri" w:hAnsi="Calibri" w:cs="Times New Roman"/>
      <w:sz w:val="22"/>
      <w:szCs w:val="22"/>
    </w:rPr>
  </w:style>
  <w:style w:type="paragraph" w:styleId="ListParagraph">
    <w:name w:val="List Paragraph"/>
    <w:basedOn w:val="Normal"/>
    <w:uiPriority w:val="34"/>
    <w:qFormat/>
    <w:rsid w:val="00BF426D"/>
    <w:pPr>
      <w:ind w:left="720"/>
      <w:contextualSpacing/>
    </w:pPr>
  </w:style>
  <w:style w:type="paragraph" w:styleId="TOCHeading">
    <w:name w:val="TOC Heading"/>
    <w:basedOn w:val="Heading1"/>
    <w:next w:val="Normal"/>
    <w:uiPriority w:val="39"/>
    <w:unhideWhenUsed/>
    <w:qFormat/>
    <w:rsid w:val="00BF426D"/>
    <w:pPr>
      <w:keepLines w:val="0"/>
      <w:spacing w:before="240" w:after="120"/>
    </w:pPr>
    <w:rPr>
      <w:rFonts w:eastAsia="Arial" w:cs="Arial"/>
      <w:bCs w:val="0"/>
      <w:color w:val="215868" w:themeColor="accent5" w:themeShade="80"/>
      <w:lang w:val="en-US"/>
    </w:rPr>
  </w:style>
  <w:style w:type="paragraph" w:customStyle="1" w:styleId="TableContents">
    <w:name w:val="Table Contents"/>
    <w:basedOn w:val="Normal"/>
    <w:qFormat/>
    <w:rsid w:val="005A07FA"/>
    <w:pPr>
      <w:suppressLineNumbers/>
    </w:pPr>
  </w:style>
  <w:style w:type="paragraph" w:styleId="BalloonText">
    <w:name w:val="Balloon Text"/>
    <w:basedOn w:val="Normal"/>
    <w:link w:val="BalloonTextChar"/>
    <w:uiPriority w:val="99"/>
    <w:semiHidden/>
    <w:unhideWhenUsed/>
    <w:qFormat/>
    <w:rsid w:val="005A07FA"/>
    <w:rPr>
      <w:rFonts w:ascii="Tahoma" w:hAnsi="Tahoma" w:cs="Mangal"/>
      <w:sz w:val="16"/>
      <w:szCs w:val="14"/>
    </w:rPr>
  </w:style>
  <w:style w:type="paragraph" w:customStyle="1" w:styleId="Footnote">
    <w:name w:val="Footnote"/>
    <w:basedOn w:val="Normal"/>
  </w:style>
  <w:style w:type="table" w:styleId="TableGrid">
    <w:name w:val="Table Grid"/>
    <w:basedOn w:val="TableNormal"/>
    <w:uiPriority w:val="59"/>
    <w:rsid w:val="005A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5119"/>
    <w:rPr>
      <w:sz w:val="18"/>
      <w:szCs w:val="18"/>
    </w:rPr>
  </w:style>
  <w:style w:type="paragraph" w:styleId="CommentText">
    <w:name w:val="annotation text"/>
    <w:basedOn w:val="Normal"/>
    <w:link w:val="CommentTextChar"/>
    <w:uiPriority w:val="99"/>
    <w:semiHidden/>
    <w:unhideWhenUsed/>
    <w:rsid w:val="000A5119"/>
  </w:style>
  <w:style w:type="character" w:customStyle="1" w:styleId="CommentTextChar">
    <w:name w:val="Comment Text Char"/>
    <w:basedOn w:val="DefaultParagraphFont"/>
    <w:link w:val="CommentText"/>
    <w:uiPriority w:val="99"/>
    <w:semiHidden/>
    <w:rsid w:val="000A5119"/>
    <w:rPr>
      <w:rFonts w:ascii="Calibri" w:eastAsia="Source Han Sans CN Regular" w:hAnsi="Calibri" w:cs="Lohit Devanagari"/>
      <w:lang w:val="en-GB" w:eastAsia="zh-CN" w:bidi="hi-IN"/>
    </w:rPr>
  </w:style>
  <w:style w:type="paragraph" w:styleId="CommentSubject">
    <w:name w:val="annotation subject"/>
    <w:basedOn w:val="CommentText"/>
    <w:next w:val="CommentText"/>
    <w:link w:val="CommentSubjectChar"/>
    <w:uiPriority w:val="99"/>
    <w:semiHidden/>
    <w:unhideWhenUsed/>
    <w:rsid w:val="000A5119"/>
    <w:rPr>
      <w:b/>
      <w:bCs/>
      <w:sz w:val="20"/>
      <w:szCs w:val="20"/>
    </w:rPr>
  </w:style>
  <w:style w:type="character" w:customStyle="1" w:styleId="CommentSubjectChar">
    <w:name w:val="Comment Subject Char"/>
    <w:basedOn w:val="CommentTextChar"/>
    <w:link w:val="CommentSubject"/>
    <w:uiPriority w:val="99"/>
    <w:semiHidden/>
    <w:rsid w:val="000A5119"/>
    <w:rPr>
      <w:rFonts w:ascii="Calibri" w:eastAsia="Source Han Sans CN Regular" w:hAnsi="Calibri" w:cs="Lohit Devanagari"/>
      <w:b/>
      <w:bCs/>
      <w:sz w:val="20"/>
      <w:szCs w:val="20"/>
      <w:lang w:val="en-GB" w:eastAsia="zh-CN" w:bidi="hi-IN"/>
    </w:rPr>
  </w:style>
  <w:style w:type="paragraph" w:styleId="Revision">
    <w:name w:val="Revision"/>
    <w:hidden/>
    <w:uiPriority w:val="99"/>
    <w:semiHidden/>
    <w:rsid w:val="00E35E61"/>
    <w:rPr>
      <w:rFonts w:ascii="Calibri" w:eastAsia="Source Han Sans CN Regular" w:hAnsi="Calibri" w:cs="Lohit Devanagari"/>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AA18-99D6-E54E-877D-E72198CD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6290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Baden</dc:creator>
  <cp:lastModifiedBy>Duncan  Sones</cp:lastModifiedBy>
  <cp:revision>2</cp:revision>
  <dcterms:created xsi:type="dcterms:W3CDTF">2016-09-01T14:20:00Z</dcterms:created>
  <dcterms:modified xsi:type="dcterms:W3CDTF">2016-09-01T14:20:00Z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