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E6" w:rsidRPr="007F5496" w:rsidRDefault="00E10121" w:rsidP="006D01EE">
      <w:pPr>
        <w:spacing w:line="240" w:lineRule="auto"/>
        <w:rPr>
          <w:rFonts w:ascii="Arial" w:hAnsi="Arial" w:cs="Arial"/>
          <w:b/>
          <w:sz w:val="24"/>
          <w:szCs w:val="24"/>
          <w:lang w:val="en-GB"/>
        </w:rPr>
      </w:pPr>
      <w:r>
        <w:rPr>
          <w:rFonts w:ascii="Arial" w:hAnsi="Arial" w:cs="Arial"/>
          <w:b/>
          <w:sz w:val="24"/>
          <w:szCs w:val="24"/>
          <w:lang w:val="en-GB"/>
        </w:rPr>
        <w:t xml:space="preserve">Nigeria Country Profile 2015 </w:t>
      </w:r>
      <w:bookmarkStart w:id="0" w:name="_GoBack"/>
      <w:bookmarkEnd w:id="0"/>
    </w:p>
    <w:p w:rsidR="002659E6" w:rsidRDefault="002659E6" w:rsidP="006D01EE">
      <w:pPr>
        <w:spacing w:before="120" w:after="240" w:line="240" w:lineRule="auto"/>
        <w:rPr>
          <w:rFonts w:ascii="Arial" w:hAnsi="Arial" w:cs="Arial"/>
          <w:b/>
          <w:color w:val="92D050"/>
          <w:sz w:val="24"/>
          <w:szCs w:val="24"/>
        </w:rPr>
      </w:pPr>
      <w:r w:rsidRPr="00D1631E">
        <w:rPr>
          <w:rFonts w:ascii="Arial" w:hAnsi="Arial" w:cs="Arial"/>
          <w:b/>
          <w:color w:val="92D050"/>
          <w:sz w:val="24"/>
          <w:szCs w:val="24"/>
        </w:rPr>
        <w:t>OVERVIEW</w:t>
      </w:r>
    </w:p>
    <w:p w:rsidR="002125E1" w:rsidRPr="00EB0DBE" w:rsidRDefault="002125E1" w:rsidP="002125E1">
      <w:pPr>
        <w:spacing w:after="0" w:line="240" w:lineRule="auto"/>
        <w:jc w:val="right"/>
        <w:rPr>
          <w:rFonts w:ascii="Arial" w:hAnsi="Arial" w:cs="Arial"/>
          <w:b/>
          <w:color w:val="808080" w:themeColor="background1" w:themeShade="80"/>
          <w:sz w:val="24"/>
          <w:szCs w:val="24"/>
          <w:lang w:val="en-GB"/>
        </w:rPr>
      </w:pPr>
      <w:r w:rsidRPr="00EB0DBE">
        <w:rPr>
          <w:rFonts w:ascii="Arial" w:hAnsi="Arial" w:cs="Arial"/>
          <w:b/>
          <w:color w:val="808080" w:themeColor="background1" w:themeShade="80"/>
          <w:sz w:val="24"/>
          <w:szCs w:val="24"/>
          <w:lang w:val="en-GB"/>
        </w:rPr>
        <w:t>Pr</w:t>
      </w:r>
      <w:r>
        <w:rPr>
          <w:rFonts w:ascii="Arial" w:hAnsi="Arial" w:cs="Arial"/>
          <w:b/>
          <w:color w:val="808080" w:themeColor="background1" w:themeShade="80"/>
          <w:sz w:val="24"/>
          <w:szCs w:val="24"/>
          <w:lang w:val="en-GB"/>
        </w:rPr>
        <w:t xml:space="preserve">oduced by the ASHC delivery team   </w:t>
      </w:r>
    </w:p>
    <w:p w:rsidR="002125E1" w:rsidRDefault="002125E1" w:rsidP="002125E1">
      <w:pPr>
        <w:spacing w:before="120" w:after="240" w:line="240" w:lineRule="auto"/>
        <w:jc w:val="right"/>
        <w:rPr>
          <w:rFonts w:ascii="Arial" w:hAnsi="Arial" w:cs="Arial"/>
          <w:b/>
          <w:color w:val="92D050"/>
          <w:sz w:val="24"/>
          <w:szCs w:val="24"/>
        </w:rPr>
      </w:pPr>
      <w:proofErr w:type="gramStart"/>
      <w:r w:rsidRPr="00EB0DBE">
        <w:rPr>
          <w:rFonts w:ascii="Arial" w:hAnsi="Arial" w:cs="Arial"/>
          <w:b/>
          <w:color w:val="808080" w:themeColor="background1" w:themeShade="80"/>
          <w:lang w:val="en-GB"/>
        </w:rPr>
        <w:t>supported</w:t>
      </w:r>
      <w:proofErr w:type="gramEnd"/>
      <w:r w:rsidRPr="00EB0DBE">
        <w:rPr>
          <w:rFonts w:ascii="Arial" w:hAnsi="Arial" w:cs="Arial"/>
          <w:b/>
          <w:color w:val="808080" w:themeColor="background1" w:themeShade="80"/>
          <w:lang w:val="en-GB"/>
        </w:rPr>
        <w:t xml:space="preserve"> by</w:t>
      </w:r>
      <w:r w:rsidR="008D5224">
        <w:rPr>
          <w:rFonts w:ascii="Arial" w:hAnsi="Arial" w:cs="Arial"/>
          <w:b/>
          <w:color w:val="808080" w:themeColor="background1" w:themeShade="80"/>
          <w:lang w:val="en-GB"/>
        </w:rPr>
        <w:t xml:space="preserve"> </w:t>
      </w:r>
      <w:proofErr w:type="spellStart"/>
      <w:r w:rsidRPr="002125E1">
        <w:rPr>
          <w:rFonts w:ascii="Arial" w:hAnsi="Arial" w:cs="Arial"/>
          <w:b/>
          <w:color w:val="808080" w:themeColor="background1" w:themeShade="80"/>
          <w:lang w:val="en-GB"/>
        </w:rPr>
        <w:t>Utiang</w:t>
      </w:r>
      <w:proofErr w:type="spellEnd"/>
      <w:r w:rsidRPr="002125E1">
        <w:rPr>
          <w:rFonts w:ascii="Arial" w:hAnsi="Arial" w:cs="Arial"/>
          <w:b/>
          <w:color w:val="808080" w:themeColor="background1" w:themeShade="80"/>
          <w:lang w:val="en-GB"/>
        </w:rPr>
        <w:t xml:space="preserve"> P. </w:t>
      </w:r>
      <w:proofErr w:type="spellStart"/>
      <w:r w:rsidRPr="002125E1">
        <w:rPr>
          <w:rFonts w:ascii="Arial" w:hAnsi="Arial" w:cs="Arial"/>
          <w:b/>
          <w:color w:val="808080" w:themeColor="background1" w:themeShade="80"/>
          <w:lang w:val="en-GB"/>
        </w:rPr>
        <w:t>Ugbe</w:t>
      </w:r>
      <w:proofErr w:type="spellEnd"/>
    </w:p>
    <w:p w:rsidR="002659E6" w:rsidRPr="00AD6807" w:rsidRDefault="002659E6" w:rsidP="008D5224">
      <w:pPr>
        <w:spacing w:before="120" w:after="120" w:line="240" w:lineRule="auto"/>
        <w:rPr>
          <w:rFonts w:ascii="Arial" w:hAnsi="Arial" w:cs="Arial"/>
          <w:sz w:val="20"/>
          <w:szCs w:val="20"/>
        </w:rPr>
      </w:pPr>
      <w:r w:rsidRPr="00AD6807">
        <w:rPr>
          <w:rFonts w:ascii="Arial" w:hAnsi="Arial" w:cs="Arial"/>
          <w:sz w:val="20"/>
          <w:szCs w:val="20"/>
        </w:rPr>
        <w:t xml:space="preserve">Currently </w:t>
      </w:r>
      <w:r>
        <w:rPr>
          <w:rFonts w:ascii="Arial" w:hAnsi="Arial" w:cs="Arial"/>
          <w:sz w:val="20"/>
          <w:szCs w:val="20"/>
        </w:rPr>
        <w:t xml:space="preserve">Nigeria performs below its true potential due to decades of under-investment and erratic policy reforms and implementation. The Agricultural Transformation Agenda (ATA), launched in 2011, however, offers the potential to </w:t>
      </w:r>
      <w:r w:rsidRPr="0002792B">
        <w:rPr>
          <w:rFonts w:ascii="Arial" w:hAnsi="Arial" w:cs="Arial"/>
          <w:sz w:val="20"/>
          <w:szCs w:val="20"/>
        </w:rPr>
        <w:t>c</w:t>
      </w:r>
      <w:r>
        <w:rPr>
          <w:rFonts w:ascii="Arial" w:hAnsi="Arial" w:cs="Arial"/>
          <w:sz w:val="20"/>
          <w:szCs w:val="20"/>
        </w:rPr>
        <w:t>reate</w:t>
      </w:r>
      <w:r w:rsidRPr="0002792B">
        <w:rPr>
          <w:rFonts w:ascii="Arial" w:hAnsi="Arial" w:cs="Arial"/>
          <w:sz w:val="20"/>
          <w:szCs w:val="20"/>
        </w:rPr>
        <w:t xml:space="preserve"> a more conducive macro-environment to stimulate greater private sector investment in agriculture and </w:t>
      </w:r>
      <w:r>
        <w:rPr>
          <w:rFonts w:ascii="Arial" w:hAnsi="Arial" w:cs="Arial"/>
          <w:sz w:val="20"/>
          <w:szCs w:val="20"/>
        </w:rPr>
        <w:t xml:space="preserve">provides </w:t>
      </w:r>
      <w:r w:rsidRPr="0002792B">
        <w:rPr>
          <w:rFonts w:ascii="Arial" w:hAnsi="Arial" w:cs="Arial"/>
          <w:sz w:val="20"/>
          <w:szCs w:val="20"/>
        </w:rPr>
        <w:t>a vision to transform agricultural extension and advisory services</w:t>
      </w:r>
      <w:r>
        <w:rPr>
          <w:rFonts w:ascii="Arial" w:hAnsi="Arial" w:cs="Arial"/>
          <w:sz w:val="20"/>
          <w:szCs w:val="20"/>
        </w:rPr>
        <w:t xml:space="preserve">. </w:t>
      </w:r>
      <w:r w:rsidRPr="0002792B">
        <w:rPr>
          <w:rFonts w:ascii="Arial" w:hAnsi="Arial" w:cs="Arial"/>
          <w:sz w:val="20"/>
          <w:szCs w:val="20"/>
        </w:rPr>
        <w:t xml:space="preserve">Greater involvement and participation of youth in agriculture is </w:t>
      </w:r>
      <w:r>
        <w:rPr>
          <w:rFonts w:ascii="Arial" w:hAnsi="Arial" w:cs="Arial"/>
          <w:sz w:val="20"/>
          <w:szCs w:val="20"/>
        </w:rPr>
        <w:t xml:space="preserve">also </w:t>
      </w:r>
      <w:r w:rsidRPr="0002792B">
        <w:rPr>
          <w:rFonts w:ascii="Arial" w:hAnsi="Arial" w:cs="Arial"/>
          <w:sz w:val="20"/>
          <w:szCs w:val="20"/>
        </w:rPr>
        <w:t xml:space="preserve">high priority in Nigeria with </w:t>
      </w:r>
      <w:r>
        <w:rPr>
          <w:rFonts w:ascii="Arial" w:hAnsi="Arial" w:cs="Arial"/>
          <w:sz w:val="20"/>
          <w:szCs w:val="20"/>
        </w:rPr>
        <w:t>the</w:t>
      </w:r>
      <w:r w:rsidRPr="0002792B">
        <w:rPr>
          <w:rFonts w:ascii="Arial" w:hAnsi="Arial" w:cs="Arial"/>
          <w:sz w:val="20"/>
          <w:szCs w:val="20"/>
        </w:rPr>
        <w:t xml:space="preserve"> 2013 high-level launch of two large youth in agriculture initiatives</w:t>
      </w:r>
      <w:r>
        <w:rPr>
          <w:rFonts w:ascii="Arial" w:hAnsi="Arial" w:cs="Arial"/>
          <w:sz w:val="20"/>
          <w:szCs w:val="20"/>
        </w:rPr>
        <w:t>. Over recent years there has been large-scale investment in agriculture by the private sector - $11 billion since the ATA was launched.</w:t>
      </w:r>
    </w:p>
    <w:p w:rsidR="002659E6" w:rsidRPr="00230FD7" w:rsidRDefault="002659E6" w:rsidP="006D01EE">
      <w:pPr>
        <w:spacing w:after="120" w:line="240" w:lineRule="auto"/>
        <w:rPr>
          <w:rFonts w:ascii="Arial" w:hAnsi="Arial" w:cs="Arial"/>
          <w:sz w:val="20"/>
          <w:szCs w:val="20"/>
        </w:rPr>
      </w:pPr>
      <w:r w:rsidRPr="00230FD7">
        <w:rPr>
          <w:rFonts w:ascii="Arial" w:hAnsi="Arial" w:cs="Arial"/>
          <w:sz w:val="20"/>
          <w:szCs w:val="20"/>
        </w:rPr>
        <w:t>Nigeria represents an enormous opportunity to tease out a number of lessons with regard to the agricultural information supply chain</w:t>
      </w:r>
      <w:r w:rsidRPr="0002792B">
        <w:rPr>
          <w:rFonts w:ascii="Arial" w:hAnsi="Arial" w:cs="Arial"/>
          <w:sz w:val="20"/>
          <w:szCs w:val="20"/>
        </w:rPr>
        <w:t xml:space="preserve">. Because of the sheer size of the target population of smallholder farmers, it is safe to assume that taking any initiative to scale can be achieved quickly if the campaign is well planned. </w:t>
      </w:r>
    </w:p>
    <w:p w:rsidR="002659E6" w:rsidRPr="00230FD7" w:rsidRDefault="002659E6" w:rsidP="006D01EE">
      <w:pPr>
        <w:spacing w:after="120" w:line="240" w:lineRule="auto"/>
        <w:rPr>
          <w:rFonts w:ascii="Arial" w:hAnsi="Arial" w:cs="Arial"/>
          <w:sz w:val="20"/>
          <w:szCs w:val="20"/>
        </w:rPr>
      </w:pPr>
      <w:r w:rsidRPr="00230FD7">
        <w:rPr>
          <w:rFonts w:ascii="Arial" w:hAnsi="Arial" w:cs="Arial"/>
          <w:sz w:val="20"/>
          <w:szCs w:val="20"/>
        </w:rPr>
        <w:t>A good combination of stakeholders</w:t>
      </w:r>
      <w:r w:rsidR="008D5224">
        <w:rPr>
          <w:rFonts w:ascii="Arial" w:hAnsi="Arial" w:cs="Arial"/>
          <w:sz w:val="20"/>
          <w:szCs w:val="20"/>
        </w:rPr>
        <w:t>,</w:t>
      </w:r>
      <w:r w:rsidRPr="00230FD7">
        <w:rPr>
          <w:rFonts w:ascii="Arial" w:hAnsi="Arial" w:cs="Arial"/>
          <w:sz w:val="20"/>
          <w:szCs w:val="20"/>
        </w:rPr>
        <w:t xml:space="preserve"> including private, research, NGOs and national extension actors</w:t>
      </w:r>
      <w:r w:rsidR="008D5224">
        <w:rPr>
          <w:rFonts w:ascii="Arial" w:hAnsi="Arial" w:cs="Arial"/>
          <w:sz w:val="20"/>
          <w:szCs w:val="20"/>
        </w:rPr>
        <w:t>,</w:t>
      </w:r>
      <w:r w:rsidRPr="00230FD7">
        <w:rPr>
          <w:rFonts w:ascii="Arial" w:hAnsi="Arial" w:cs="Arial"/>
          <w:sz w:val="20"/>
          <w:szCs w:val="20"/>
        </w:rPr>
        <w:t xml:space="preserve"> provides an avenue to test the value added by a demand-responsive approach to knowledge and information dissemination planning and implementation. Within the context of an aggressive government policy foray into agricultural transformation, useful partnerships with the country’s state and local government extension system should provide opportunities to inform future government approaches to knowledge and dissemination design, planning and delivery.  </w:t>
      </w:r>
    </w:p>
    <w:p w:rsidR="002659E6" w:rsidRPr="00230FD7" w:rsidRDefault="002659E6" w:rsidP="006D01EE">
      <w:pPr>
        <w:spacing w:after="240" w:line="240" w:lineRule="auto"/>
        <w:rPr>
          <w:rFonts w:ascii="Arial" w:hAnsi="Arial" w:cs="Arial"/>
          <w:sz w:val="20"/>
          <w:szCs w:val="20"/>
        </w:rPr>
      </w:pPr>
      <w:r w:rsidRPr="00230FD7">
        <w:rPr>
          <w:rFonts w:ascii="Arial" w:hAnsi="Arial" w:cs="Arial"/>
          <w:sz w:val="20"/>
          <w:szCs w:val="20"/>
        </w:rPr>
        <w:t>Implementation approaches in Nigeria will likely need to take into account the national, state-level and local government extension support mechanisms</w:t>
      </w:r>
      <w:r w:rsidR="008D5224">
        <w:rPr>
          <w:rFonts w:ascii="Arial" w:hAnsi="Arial" w:cs="Arial"/>
          <w:sz w:val="20"/>
          <w:szCs w:val="20"/>
        </w:rPr>
        <w:t>,</w:t>
      </w:r>
      <w:r w:rsidRPr="00230FD7">
        <w:rPr>
          <w:rFonts w:ascii="Arial" w:hAnsi="Arial" w:cs="Arial"/>
          <w:sz w:val="20"/>
          <w:szCs w:val="20"/>
        </w:rPr>
        <w:t xml:space="preserve"> with a deliberate intention to complement the existing priorities while gradually innovating and adding value. This is critical to national level buy-in and support for the initiatives and increased likelihood of uptake of the learning. Large-scale policy reforms in Nigeria's agricultural sector, including a more receptive environment for private sector investment and involvement in the voucher scheme,  represents a great opportunity to make a contribution to soil fertility information</w:t>
      </w:r>
      <w:r w:rsidR="008D5224">
        <w:rPr>
          <w:rFonts w:ascii="Arial" w:hAnsi="Arial" w:cs="Arial"/>
          <w:sz w:val="20"/>
          <w:szCs w:val="20"/>
        </w:rPr>
        <w:t xml:space="preserve"> </w:t>
      </w:r>
      <w:r w:rsidRPr="00230FD7">
        <w:rPr>
          <w:rFonts w:ascii="Arial" w:hAnsi="Arial" w:cs="Arial"/>
          <w:sz w:val="20"/>
          <w:szCs w:val="20"/>
        </w:rPr>
        <w:t>dissemination.</w:t>
      </w:r>
    </w:p>
    <w:p w:rsidR="002659E6" w:rsidRPr="00D1631E" w:rsidRDefault="002659E6" w:rsidP="006D01EE">
      <w:pPr>
        <w:spacing w:after="0" w:line="240" w:lineRule="auto"/>
        <w:rPr>
          <w:rFonts w:ascii="Arial" w:hAnsi="Arial" w:cs="Arial"/>
          <w:b/>
          <w:color w:val="92D050"/>
          <w:sz w:val="24"/>
          <w:szCs w:val="24"/>
        </w:rPr>
      </w:pPr>
      <w:r w:rsidRPr="00D1631E">
        <w:rPr>
          <w:rFonts w:ascii="Arial" w:hAnsi="Arial" w:cs="Arial"/>
          <w:b/>
          <w:color w:val="92D050"/>
          <w:sz w:val="24"/>
          <w:szCs w:val="24"/>
        </w:rPr>
        <w:t>BACKGROUND</w:t>
      </w:r>
    </w:p>
    <w:p w:rsidR="002659E6" w:rsidRDefault="002659E6" w:rsidP="006D01EE">
      <w:pPr>
        <w:spacing w:before="240" w:after="0" w:line="240" w:lineRule="auto"/>
        <w:rPr>
          <w:rFonts w:ascii="Arial" w:hAnsi="Arial" w:cs="Arial"/>
          <w:b/>
          <w:color w:val="92D050"/>
          <w:sz w:val="24"/>
          <w:szCs w:val="24"/>
        </w:rPr>
      </w:pPr>
      <w:r w:rsidRPr="00D1631E">
        <w:rPr>
          <w:rFonts w:ascii="Arial" w:hAnsi="Arial" w:cs="Arial"/>
          <w:b/>
          <w:color w:val="92D050"/>
          <w:sz w:val="24"/>
          <w:szCs w:val="24"/>
        </w:rPr>
        <w:t xml:space="preserve">The role of agriculture in </w:t>
      </w:r>
      <w:r w:rsidR="008D5224">
        <w:rPr>
          <w:rFonts w:ascii="Arial" w:hAnsi="Arial" w:cs="Arial"/>
          <w:b/>
          <w:color w:val="92D050"/>
          <w:sz w:val="24"/>
          <w:szCs w:val="24"/>
        </w:rPr>
        <w:t xml:space="preserve">the </w:t>
      </w:r>
      <w:r w:rsidRPr="00D1631E">
        <w:rPr>
          <w:rFonts w:ascii="Arial" w:hAnsi="Arial" w:cs="Arial"/>
          <w:b/>
          <w:color w:val="92D050"/>
          <w:sz w:val="24"/>
          <w:szCs w:val="24"/>
        </w:rPr>
        <w:t>national economy</w:t>
      </w:r>
    </w:p>
    <w:p w:rsidR="002508EA" w:rsidRPr="007328C8" w:rsidRDefault="002508EA" w:rsidP="00CF74D9">
      <w:pPr>
        <w:pStyle w:val="TableParagraph"/>
        <w:tabs>
          <w:tab w:val="left" w:pos="5812"/>
        </w:tabs>
        <w:kinsoku w:val="0"/>
        <w:overflowPunct w:val="0"/>
        <w:spacing w:line="274" w:lineRule="exact"/>
        <w:ind w:left="142" w:hanging="102"/>
        <w:rPr>
          <w:rFonts w:ascii="Arial" w:hAnsi="Arial" w:cs="Calibri"/>
          <w:sz w:val="20"/>
          <w:szCs w:val="20"/>
          <w:vertAlign w:val="superscript"/>
        </w:rPr>
      </w:pPr>
      <w:r w:rsidRPr="007328C8">
        <w:rPr>
          <w:rFonts w:ascii="Arial" w:hAnsi="Arial" w:cs="Calibri"/>
          <w:spacing w:val="1"/>
          <w:sz w:val="20"/>
          <w:szCs w:val="20"/>
        </w:rPr>
        <w:t>Po</w:t>
      </w:r>
      <w:r w:rsidRPr="007328C8">
        <w:rPr>
          <w:rFonts w:ascii="Arial" w:hAnsi="Arial" w:cs="Calibri"/>
          <w:spacing w:val="-1"/>
          <w:sz w:val="20"/>
          <w:szCs w:val="20"/>
        </w:rPr>
        <w:t>pula</w:t>
      </w:r>
      <w:r w:rsidRPr="007328C8">
        <w:rPr>
          <w:rFonts w:ascii="Arial" w:hAnsi="Arial" w:cs="Calibri"/>
          <w:sz w:val="20"/>
          <w:szCs w:val="20"/>
        </w:rPr>
        <w:t>t</w:t>
      </w:r>
      <w:r w:rsidRPr="007328C8">
        <w:rPr>
          <w:rFonts w:ascii="Arial" w:hAnsi="Arial" w:cs="Calibri"/>
          <w:spacing w:val="-3"/>
          <w:sz w:val="20"/>
          <w:szCs w:val="20"/>
        </w:rPr>
        <w:t>i</w:t>
      </w:r>
      <w:r w:rsidRPr="007328C8">
        <w:rPr>
          <w:rFonts w:ascii="Arial" w:hAnsi="Arial" w:cs="Calibri"/>
          <w:spacing w:val="1"/>
          <w:sz w:val="20"/>
          <w:szCs w:val="20"/>
        </w:rPr>
        <w:t>o</w:t>
      </w:r>
      <w:r w:rsidRPr="007328C8">
        <w:rPr>
          <w:rFonts w:ascii="Arial" w:hAnsi="Arial" w:cs="Calibri"/>
          <w:spacing w:val="-1"/>
          <w:sz w:val="20"/>
          <w:szCs w:val="20"/>
        </w:rPr>
        <w:t>n</w:t>
      </w:r>
      <w:r w:rsidRPr="007328C8">
        <w:rPr>
          <w:rFonts w:ascii="Arial" w:hAnsi="Arial" w:cs="Calibri"/>
          <w:sz w:val="20"/>
          <w:szCs w:val="20"/>
        </w:rPr>
        <w:t>,</w:t>
      </w:r>
      <w:r w:rsidR="00EB3A98">
        <w:rPr>
          <w:rFonts w:ascii="Arial" w:hAnsi="Arial" w:cs="Calibri"/>
          <w:sz w:val="20"/>
          <w:szCs w:val="20"/>
        </w:rPr>
        <w:t xml:space="preserve"> </w:t>
      </w:r>
      <w:r w:rsidRPr="007328C8">
        <w:rPr>
          <w:rFonts w:ascii="Arial" w:hAnsi="Arial" w:cs="Calibri"/>
          <w:spacing w:val="-2"/>
          <w:sz w:val="20"/>
          <w:szCs w:val="20"/>
        </w:rPr>
        <w:t>t</w:t>
      </w:r>
      <w:r w:rsidRPr="007328C8">
        <w:rPr>
          <w:rFonts w:ascii="Arial" w:hAnsi="Arial" w:cs="Calibri"/>
          <w:spacing w:val="1"/>
          <w:sz w:val="20"/>
          <w:szCs w:val="20"/>
        </w:rPr>
        <w:t>o</w:t>
      </w:r>
      <w:r w:rsidRPr="007328C8">
        <w:rPr>
          <w:rFonts w:ascii="Arial" w:hAnsi="Arial" w:cs="Calibri"/>
          <w:sz w:val="20"/>
          <w:szCs w:val="20"/>
        </w:rPr>
        <w:t>t</w:t>
      </w:r>
      <w:r w:rsidRPr="007328C8">
        <w:rPr>
          <w:rFonts w:ascii="Arial" w:hAnsi="Arial" w:cs="Calibri"/>
          <w:spacing w:val="-1"/>
          <w:sz w:val="20"/>
          <w:szCs w:val="20"/>
        </w:rPr>
        <w:t>a</w:t>
      </w:r>
      <w:r w:rsidRPr="007328C8">
        <w:rPr>
          <w:rFonts w:ascii="Arial" w:hAnsi="Arial" w:cs="Calibri"/>
          <w:sz w:val="20"/>
          <w:szCs w:val="20"/>
        </w:rPr>
        <w:t>l</w:t>
      </w:r>
      <w:r w:rsidRPr="007328C8">
        <w:rPr>
          <w:rFonts w:ascii="Arial" w:hAnsi="Arial" w:cs="Calibri"/>
          <w:spacing w:val="-3"/>
          <w:sz w:val="20"/>
          <w:szCs w:val="20"/>
        </w:rPr>
        <w:t xml:space="preserve"> (</w:t>
      </w:r>
      <w:r w:rsidRPr="007328C8">
        <w:rPr>
          <w:rFonts w:ascii="Arial" w:hAnsi="Arial" w:cs="Calibri"/>
          <w:spacing w:val="1"/>
          <w:sz w:val="20"/>
          <w:szCs w:val="20"/>
        </w:rPr>
        <w:t>million people</w:t>
      </w:r>
      <w:r w:rsidRPr="007328C8">
        <w:rPr>
          <w:rFonts w:ascii="Arial" w:hAnsi="Arial" w:cs="Calibri"/>
          <w:sz w:val="20"/>
          <w:szCs w:val="20"/>
        </w:rPr>
        <w:t>)</w:t>
      </w:r>
      <w:r w:rsidRPr="007328C8">
        <w:rPr>
          <w:rStyle w:val="FootnoteReference"/>
          <w:rFonts w:ascii="Arial" w:hAnsi="Arial" w:cs="Calibri"/>
          <w:sz w:val="20"/>
          <w:szCs w:val="20"/>
        </w:rPr>
        <w:footnoteReference w:id="1"/>
      </w:r>
      <w:r w:rsidRPr="007328C8">
        <w:rPr>
          <w:rFonts w:ascii="Arial" w:hAnsi="Arial" w:cs="Calibri"/>
          <w:i/>
          <w:sz w:val="20"/>
          <w:szCs w:val="20"/>
        </w:rPr>
        <w:t>(</w:t>
      </w:r>
      <w:r w:rsidRPr="007328C8">
        <w:rPr>
          <w:rFonts w:ascii="Arial" w:hAnsi="Arial" w:cs="Calibri"/>
          <w:i/>
          <w:spacing w:val="1"/>
          <w:sz w:val="20"/>
          <w:szCs w:val="20"/>
        </w:rPr>
        <w:t>2014)</w:t>
      </w:r>
      <w:r w:rsidR="00CF74D9" w:rsidRPr="007328C8">
        <w:rPr>
          <w:rFonts w:ascii="Arial" w:hAnsi="Arial"/>
          <w:sz w:val="20"/>
          <w:szCs w:val="20"/>
        </w:rPr>
        <w:tab/>
      </w:r>
      <w:r w:rsidRPr="007328C8">
        <w:rPr>
          <w:rFonts w:ascii="Arial" w:hAnsi="Arial"/>
          <w:sz w:val="20"/>
          <w:szCs w:val="20"/>
        </w:rPr>
        <w:t>177.2</w:t>
      </w:r>
    </w:p>
    <w:p w:rsidR="002508EA" w:rsidRPr="007328C8" w:rsidRDefault="002508EA" w:rsidP="00CF74D9">
      <w:pPr>
        <w:pStyle w:val="TableParagraph"/>
        <w:tabs>
          <w:tab w:val="left" w:pos="5812"/>
        </w:tabs>
        <w:kinsoku w:val="0"/>
        <w:overflowPunct w:val="0"/>
        <w:ind w:left="142" w:right="351" w:hanging="102"/>
        <w:rPr>
          <w:rFonts w:ascii="Arial" w:hAnsi="Arial"/>
          <w:sz w:val="20"/>
          <w:szCs w:val="20"/>
        </w:rPr>
      </w:pPr>
      <w:r w:rsidRPr="007328C8">
        <w:rPr>
          <w:rFonts w:ascii="Arial" w:hAnsi="Arial" w:cs="Calibri"/>
          <w:spacing w:val="1"/>
          <w:sz w:val="20"/>
          <w:szCs w:val="20"/>
        </w:rPr>
        <w:t>Po</w:t>
      </w:r>
      <w:r w:rsidRPr="007328C8">
        <w:rPr>
          <w:rFonts w:ascii="Arial" w:hAnsi="Arial" w:cs="Calibri"/>
          <w:spacing w:val="-1"/>
          <w:sz w:val="20"/>
          <w:szCs w:val="20"/>
        </w:rPr>
        <w:t>pula</w:t>
      </w:r>
      <w:r w:rsidRPr="007328C8">
        <w:rPr>
          <w:rFonts w:ascii="Arial" w:hAnsi="Arial" w:cs="Calibri"/>
          <w:sz w:val="20"/>
          <w:szCs w:val="20"/>
        </w:rPr>
        <w:t>t</w:t>
      </w:r>
      <w:r w:rsidRPr="007328C8">
        <w:rPr>
          <w:rFonts w:ascii="Arial" w:hAnsi="Arial" w:cs="Calibri"/>
          <w:spacing w:val="-3"/>
          <w:sz w:val="20"/>
          <w:szCs w:val="20"/>
        </w:rPr>
        <w:t>i</w:t>
      </w:r>
      <w:r w:rsidRPr="007328C8">
        <w:rPr>
          <w:rFonts w:ascii="Arial" w:hAnsi="Arial" w:cs="Calibri"/>
          <w:spacing w:val="1"/>
          <w:sz w:val="20"/>
          <w:szCs w:val="20"/>
        </w:rPr>
        <w:t>o</w:t>
      </w:r>
      <w:r w:rsidRPr="007328C8">
        <w:rPr>
          <w:rFonts w:ascii="Arial" w:hAnsi="Arial" w:cs="Calibri"/>
          <w:sz w:val="20"/>
          <w:szCs w:val="20"/>
        </w:rPr>
        <w:t>n</w:t>
      </w:r>
      <w:r w:rsidR="00EB3A98">
        <w:rPr>
          <w:rFonts w:ascii="Arial" w:hAnsi="Arial" w:cs="Calibri"/>
          <w:sz w:val="20"/>
          <w:szCs w:val="20"/>
        </w:rPr>
        <w:t xml:space="preserve"> </w:t>
      </w:r>
      <w:r w:rsidRPr="007328C8">
        <w:rPr>
          <w:rFonts w:ascii="Arial" w:hAnsi="Arial" w:cs="Calibri"/>
          <w:spacing w:val="1"/>
          <w:sz w:val="20"/>
          <w:szCs w:val="20"/>
        </w:rPr>
        <w:t>D</w:t>
      </w:r>
      <w:r w:rsidRPr="007328C8">
        <w:rPr>
          <w:rFonts w:ascii="Arial" w:hAnsi="Arial" w:cs="Calibri"/>
          <w:sz w:val="20"/>
          <w:szCs w:val="20"/>
        </w:rPr>
        <w:t>e</w:t>
      </w:r>
      <w:r w:rsidRPr="007328C8">
        <w:rPr>
          <w:rFonts w:ascii="Arial" w:hAnsi="Arial" w:cs="Calibri"/>
          <w:spacing w:val="-1"/>
          <w:sz w:val="20"/>
          <w:szCs w:val="20"/>
        </w:rPr>
        <w:t>nsi</w:t>
      </w:r>
      <w:r w:rsidRPr="007328C8">
        <w:rPr>
          <w:rFonts w:ascii="Arial" w:hAnsi="Arial" w:cs="Calibri"/>
          <w:spacing w:val="-2"/>
          <w:sz w:val="20"/>
          <w:szCs w:val="20"/>
        </w:rPr>
        <w:t>t</w:t>
      </w:r>
      <w:r w:rsidRPr="007328C8">
        <w:rPr>
          <w:rFonts w:ascii="Arial" w:hAnsi="Arial" w:cs="Calibri"/>
          <w:sz w:val="20"/>
          <w:szCs w:val="20"/>
        </w:rPr>
        <w:t>y</w:t>
      </w:r>
      <w:r w:rsidR="00537902">
        <w:rPr>
          <w:rFonts w:ascii="Arial" w:hAnsi="Arial" w:cs="Calibri"/>
          <w:sz w:val="20"/>
          <w:szCs w:val="20"/>
        </w:rPr>
        <w:t xml:space="preserve"> </w:t>
      </w:r>
      <w:r w:rsidRPr="007328C8">
        <w:rPr>
          <w:rFonts w:ascii="Arial" w:hAnsi="Arial" w:cs="Calibri"/>
          <w:sz w:val="20"/>
          <w:szCs w:val="20"/>
        </w:rPr>
        <w:t>(</w:t>
      </w:r>
      <w:proofErr w:type="gramStart"/>
      <w:r w:rsidRPr="007328C8">
        <w:rPr>
          <w:rFonts w:ascii="Arial" w:hAnsi="Arial" w:cs="Calibri"/>
          <w:spacing w:val="-1"/>
          <w:sz w:val="20"/>
          <w:szCs w:val="20"/>
        </w:rPr>
        <w:t>p</w:t>
      </w:r>
      <w:r w:rsidRPr="007328C8">
        <w:rPr>
          <w:rFonts w:ascii="Arial" w:hAnsi="Arial" w:cs="Calibri"/>
          <w:spacing w:val="-2"/>
          <w:sz w:val="20"/>
          <w:szCs w:val="20"/>
        </w:rPr>
        <w:t>e</w:t>
      </w:r>
      <w:r w:rsidRPr="007328C8">
        <w:rPr>
          <w:rFonts w:ascii="Arial" w:hAnsi="Arial" w:cs="Calibri"/>
          <w:spacing w:val="1"/>
          <w:sz w:val="20"/>
          <w:szCs w:val="20"/>
        </w:rPr>
        <w:t>o</w:t>
      </w:r>
      <w:r w:rsidRPr="007328C8">
        <w:rPr>
          <w:rFonts w:ascii="Arial" w:hAnsi="Arial" w:cs="Calibri"/>
          <w:spacing w:val="-1"/>
          <w:sz w:val="20"/>
          <w:szCs w:val="20"/>
        </w:rPr>
        <w:t>pl</w:t>
      </w:r>
      <w:r w:rsidRPr="007328C8">
        <w:rPr>
          <w:rFonts w:ascii="Arial" w:hAnsi="Arial" w:cs="Calibri"/>
          <w:sz w:val="20"/>
          <w:szCs w:val="20"/>
        </w:rPr>
        <w:t>e</w:t>
      </w:r>
      <w:r w:rsidR="00EB3A98">
        <w:rPr>
          <w:rFonts w:ascii="Arial" w:hAnsi="Arial" w:cs="Calibri"/>
          <w:sz w:val="20"/>
          <w:szCs w:val="20"/>
        </w:rPr>
        <w:t xml:space="preserve">  </w:t>
      </w:r>
      <w:r w:rsidRPr="007328C8">
        <w:rPr>
          <w:rFonts w:ascii="Arial" w:hAnsi="Arial" w:cs="Calibri"/>
          <w:spacing w:val="-1"/>
          <w:sz w:val="20"/>
          <w:szCs w:val="20"/>
        </w:rPr>
        <w:t>p</w:t>
      </w:r>
      <w:r w:rsidRPr="007328C8">
        <w:rPr>
          <w:rFonts w:ascii="Arial" w:hAnsi="Arial" w:cs="Calibri"/>
          <w:sz w:val="20"/>
          <w:szCs w:val="20"/>
        </w:rPr>
        <w:t>er</w:t>
      </w:r>
      <w:proofErr w:type="gramEnd"/>
      <w:r w:rsidRPr="007328C8">
        <w:rPr>
          <w:rFonts w:ascii="Arial" w:hAnsi="Arial" w:cs="Calibri"/>
          <w:sz w:val="20"/>
          <w:szCs w:val="20"/>
        </w:rPr>
        <w:t xml:space="preserve"> k</w:t>
      </w:r>
      <w:r w:rsidRPr="007328C8">
        <w:rPr>
          <w:rFonts w:ascii="Arial" w:hAnsi="Arial" w:cs="Calibri"/>
          <w:spacing w:val="1"/>
          <w:sz w:val="20"/>
          <w:szCs w:val="20"/>
        </w:rPr>
        <w:t>m</w:t>
      </w:r>
      <w:r w:rsidRPr="007328C8">
        <w:rPr>
          <w:rFonts w:ascii="Arial" w:hAnsi="Arial" w:cs="Calibri"/>
          <w:spacing w:val="1"/>
          <w:sz w:val="20"/>
          <w:szCs w:val="20"/>
          <w:vertAlign w:val="superscript"/>
        </w:rPr>
        <w:t>2</w:t>
      </w:r>
      <w:r w:rsidRPr="007328C8">
        <w:rPr>
          <w:rFonts w:ascii="Arial" w:hAnsi="Arial" w:cs="Calibri"/>
          <w:sz w:val="20"/>
          <w:szCs w:val="20"/>
        </w:rPr>
        <w:t xml:space="preserve">) </w:t>
      </w:r>
      <w:r w:rsidR="00A55A2C" w:rsidRPr="007328C8">
        <w:rPr>
          <w:rStyle w:val="FootnoteReference"/>
          <w:rFonts w:ascii="Arial" w:hAnsi="Arial" w:cs="Calibri"/>
          <w:sz w:val="20"/>
          <w:szCs w:val="20"/>
        </w:rPr>
        <w:footnoteReference w:id="2"/>
      </w:r>
      <w:r w:rsidRPr="007328C8">
        <w:rPr>
          <w:rFonts w:ascii="Arial" w:hAnsi="Arial" w:cs="Calibri"/>
          <w:i/>
          <w:sz w:val="20"/>
          <w:szCs w:val="20"/>
        </w:rPr>
        <w:t>(2013)</w:t>
      </w:r>
      <w:r w:rsidR="00CF74D9" w:rsidRPr="007328C8">
        <w:rPr>
          <w:rFonts w:ascii="Arial" w:hAnsi="Arial"/>
          <w:sz w:val="20"/>
          <w:szCs w:val="20"/>
        </w:rPr>
        <w:tab/>
      </w:r>
      <w:r w:rsidRPr="007328C8">
        <w:rPr>
          <w:rFonts w:ascii="Arial" w:hAnsi="Arial"/>
          <w:sz w:val="20"/>
          <w:szCs w:val="20"/>
        </w:rPr>
        <w:t>190.6</w:t>
      </w:r>
    </w:p>
    <w:p w:rsidR="002508EA" w:rsidRPr="007328C8" w:rsidRDefault="002508EA" w:rsidP="00CF74D9">
      <w:pPr>
        <w:pStyle w:val="TableParagraph"/>
        <w:tabs>
          <w:tab w:val="left" w:pos="5812"/>
        </w:tabs>
        <w:kinsoku w:val="0"/>
        <w:overflowPunct w:val="0"/>
        <w:ind w:left="142" w:hanging="102"/>
        <w:rPr>
          <w:rFonts w:ascii="Arial" w:hAnsi="Arial"/>
          <w:sz w:val="20"/>
          <w:szCs w:val="20"/>
        </w:rPr>
      </w:pPr>
      <w:r w:rsidRPr="007328C8">
        <w:rPr>
          <w:rFonts w:ascii="Arial" w:hAnsi="Arial" w:cs="Calibri"/>
          <w:spacing w:val="-1"/>
          <w:sz w:val="20"/>
          <w:szCs w:val="20"/>
        </w:rPr>
        <w:t>Annua</w:t>
      </w:r>
      <w:r w:rsidRPr="007328C8">
        <w:rPr>
          <w:rFonts w:ascii="Arial" w:hAnsi="Arial" w:cs="Calibri"/>
          <w:sz w:val="20"/>
          <w:szCs w:val="20"/>
        </w:rPr>
        <w:t xml:space="preserve">l </w:t>
      </w:r>
      <w:r w:rsidRPr="007328C8">
        <w:rPr>
          <w:rFonts w:ascii="Arial" w:hAnsi="Arial" w:cs="Calibri"/>
          <w:spacing w:val="1"/>
          <w:sz w:val="20"/>
          <w:szCs w:val="20"/>
        </w:rPr>
        <w:t>Po</w:t>
      </w:r>
      <w:r w:rsidRPr="007328C8">
        <w:rPr>
          <w:rFonts w:ascii="Arial" w:hAnsi="Arial" w:cs="Calibri"/>
          <w:spacing w:val="-1"/>
          <w:sz w:val="20"/>
          <w:szCs w:val="20"/>
        </w:rPr>
        <w:t>pula</w:t>
      </w:r>
      <w:r w:rsidRPr="007328C8">
        <w:rPr>
          <w:rFonts w:ascii="Arial" w:hAnsi="Arial" w:cs="Calibri"/>
          <w:sz w:val="20"/>
          <w:szCs w:val="20"/>
        </w:rPr>
        <w:t>t</w:t>
      </w:r>
      <w:r w:rsidRPr="007328C8">
        <w:rPr>
          <w:rFonts w:ascii="Arial" w:hAnsi="Arial" w:cs="Calibri"/>
          <w:spacing w:val="-3"/>
          <w:sz w:val="20"/>
          <w:szCs w:val="20"/>
        </w:rPr>
        <w:t>i</w:t>
      </w:r>
      <w:r w:rsidRPr="007328C8">
        <w:rPr>
          <w:rFonts w:ascii="Arial" w:hAnsi="Arial" w:cs="Calibri"/>
          <w:spacing w:val="1"/>
          <w:sz w:val="20"/>
          <w:szCs w:val="20"/>
        </w:rPr>
        <w:t>o</w:t>
      </w:r>
      <w:r w:rsidRPr="007328C8">
        <w:rPr>
          <w:rFonts w:ascii="Arial" w:hAnsi="Arial" w:cs="Calibri"/>
          <w:sz w:val="20"/>
          <w:szCs w:val="20"/>
        </w:rPr>
        <w:t>n</w:t>
      </w:r>
      <w:r w:rsidRPr="007328C8">
        <w:rPr>
          <w:rFonts w:ascii="Arial" w:hAnsi="Arial" w:cs="Calibri"/>
          <w:spacing w:val="-1"/>
          <w:sz w:val="20"/>
          <w:szCs w:val="20"/>
        </w:rPr>
        <w:t xml:space="preserve"> </w:t>
      </w:r>
      <w:proofErr w:type="gramStart"/>
      <w:r w:rsidRPr="007328C8">
        <w:rPr>
          <w:rFonts w:ascii="Arial" w:hAnsi="Arial" w:cs="Calibri"/>
          <w:spacing w:val="-1"/>
          <w:sz w:val="20"/>
          <w:szCs w:val="20"/>
        </w:rPr>
        <w:t>G</w:t>
      </w:r>
      <w:r w:rsidRPr="007328C8">
        <w:rPr>
          <w:rFonts w:ascii="Arial" w:hAnsi="Arial" w:cs="Calibri"/>
          <w:spacing w:val="-3"/>
          <w:sz w:val="20"/>
          <w:szCs w:val="20"/>
        </w:rPr>
        <w:t>r</w:t>
      </w:r>
      <w:r w:rsidRPr="007328C8">
        <w:rPr>
          <w:rFonts w:ascii="Arial" w:hAnsi="Arial" w:cs="Calibri"/>
          <w:spacing w:val="1"/>
          <w:sz w:val="20"/>
          <w:szCs w:val="20"/>
        </w:rPr>
        <w:t>o</w:t>
      </w:r>
      <w:r w:rsidRPr="007328C8">
        <w:rPr>
          <w:rFonts w:ascii="Arial" w:hAnsi="Arial" w:cs="Calibri"/>
          <w:sz w:val="20"/>
          <w:szCs w:val="20"/>
        </w:rPr>
        <w:t>wth(</w:t>
      </w:r>
      <w:proofErr w:type="gramEnd"/>
      <w:r w:rsidRPr="007328C8">
        <w:rPr>
          <w:rFonts w:ascii="Arial" w:hAnsi="Arial" w:cs="Calibri"/>
          <w:sz w:val="20"/>
          <w:szCs w:val="20"/>
        </w:rPr>
        <w:t>%)</w:t>
      </w:r>
      <w:r w:rsidR="008D5224" w:rsidRPr="008D5224">
        <w:rPr>
          <w:rFonts w:ascii="Arial" w:hAnsi="Arial" w:cs="Calibri"/>
          <w:sz w:val="20"/>
          <w:szCs w:val="20"/>
          <w:vertAlign w:val="superscript"/>
        </w:rPr>
        <w:t>1</w:t>
      </w:r>
      <w:r w:rsidR="008D5224" w:rsidRPr="007328C8">
        <w:rPr>
          <w:rFonts w:ascii="Arial" w:hAnsi="Arial" w:cs="Calibri"/>
          <w:i/>
          <w:sz w:val="20"/>
          <w:szCs w:val="20"/>
        </w:rPr>
        <w:t xml:space="preserve"> </w:t>
      </w:r>
      <w:r w:rsidRPr="007328C8">
        <w:rPr>
          <w:rFonts w:ascii="Arial" w:hAnsi="Arial" w:cs="Calibri"/>
          <w:i/>
          <w:sz w:val="20"/>
          <w:szCs w:val="20"/>
        </w:rPr>
        <w:t>(2014)</w:t>
      </w:r>
      <w:r w:rsidR="00CF74D9" w:rsidRPr="007328C8">
        <w:rPr>
          <w:rFonts w:ascii="Arial" w:hAnsi="Arial"/>
          <w:sz w:val="20"/>
          <w:szCs w:val="20"/>
        </w:rPr>
        <w:tab/>
      </w:r>
      <w:r w:rsidRPr="007328C8">
        <w:rPr>
          <w:rFonts w:ascii="Arial" w:hAnsi="Arial"/>
          <w:sz w:val="20"/>
          <w:szCs w:val="20"/>
        </w:rPr>
        <w:t>2.47</w:t>
      </w:r>
    </w:p>
    <w:p w:rsidR="002508EA" w:rsidRPr="007328C8" w:rsidRDefault="002508EA" w:rsidP="00CF74D9">
      <w:pPr>
        <w:pStyle w:val="TableParagraph"/>
        <w:tabs>
          <w:tab w:val="left" w:pos="5812"/>
        </w:tabs>
        <w:kinsoku w:val="0"/>
        <w:overflowPunct w:val="0"/>
        <w:spacing w:line="274" w:lineRule="exact"/>
        <w:ind w:left="142" w:hanging="102"/>
        <w:rPr>
          <w:rFonts w:ascii="Arial" w:hAnsi="Arial"/>
          <w:sz w:val="20"/>
          <w:szCs w:val="20"/>
        </w:rPr>
      </w:pPr>
      <w:r w:rsidRPr="007328C8">
        <w:rPr>
          <w:rFonts w:ascii="Arial" w:hAnsi="Arial" w:cs="Calibri"/>
          <w:sz w:val="20"/>
          <w:szCs w:val="20"/>
        </w:rPr>
        <w:t>R</w:t>
      </w:r>
      <w:r w:rsidRPr="007328C8">
        <w:rPr>
          <w:rFonts w:ascii="Arial" w:hAnsi="Arial" w:cs="Calibri"/>
          <w:spacing w:val="-1"/>
          <w:sz w:val="20"/>
          <w:szCs w:val="20"/>
        </w:rPr>
        <w:t>ura</w:t>
      </w:r>
      <w:r w:rsidRPr="007328C8">
        <w:rPr>
          <w:rFonts w:ascii="Arial" w:hAnsi="Arial" w:cs="Calibri"/>
          <w:sz w:val="20"/>
          <w:szCs w:val="20"/>
        </w:rPr>
        <w:t>l</w:t>
      </w:r>
      <w:r w:rsidR="00EB3A98">
        <w:rPr>
          <w:rFonts w:ascii="Arial" w:hAnsi="Arial" w:cs="Calibri"/>
          <w:sz w:val="20"/>
          <w:szCs w:val="20"/>
        </w:rPr>
        <w:t xml:space="preserve"> </w:t>
      </w:r>
      <w:r w:rsidRPr="007328C8">
        <w:rPr>
          <w:rFonts w:ascii="Arial" w:hAnsi="Arial" w:cs="Calibri"/>
          <w:spacing w:val="-2"/>
          <w:sz w:val="20"/>
          <w:szCs w:val="20"/>
        </w:rPr>
        <w:t>P</w:t>
      </w:r>
      <w:r w:rsidRPr="007328C8">
        <w:rPr>
          <w:rFonts w:ascii="Arial" w:hAnsi="Arial" w:cs="Calibri"/>
          <w:spacing w:val="1"/>
          <w:sz w:val="20"/>
          <w:szCs w:val="20"/>
        </w:rPr>
        <w:t>o</w:t>
      </w:r>
      <w:r w:rsidRPr="007328C8">
        <w:rPr>
          <w:rFonts w:ascii="Arial" w:hAnsi="Arial" w:cs="Calibri"/>
          <w:spacing w:val="-1"/>
          <w:sz w:val="20"/>
          <w:szCs w:val="20"/>
        </w:rPr>
        <w:t>pula</w:t>
      </w:r>
      <w:r w:rsidRPr="007328C8">
        <w:rPr>
          <w:rFonts w:ascii="Arial" w:hAnsi="Arial" w:cs="Calibri"/>
          <w:sz w:val="20"/>
          <w:szCs w:val="20"/>
        </w:rPr>
        <w:t>t</w:t>
      </w:r>
      <w:r w:rsidRPr="007328C8">
        <w:rPr>
          <w:rFonts w:ascii="Arial" w:hAnsi="Arial" w:cs="Calibri"/>
          <w:spacing w:val="-1"/>
          <w:sz w:val="20"/>
          <w:szCs w:val="20"/>
        </w:rPr>
        <w:t>i</w:t>
      </w:r>
      <w:r w:rsidRPr="007328C8">
        <w:rPr>
          <w:rFonts w:ascii="Arial" w:hAnsi="Arial" w:cs="Calibri"/>
          <w:spacing w:val="1"/>
          <w:sz w:val="20"/>
          <w:szCs w:val="20"/>
        </w:rPr>
        <w:t>o</w:t>
      </w:r>
      <w:r w:rsidRPr="007328C8">
        <w:rPr>
          <w:rFonts w:ascii="Arial" w:hAnsi="Arial" w:cs="Calibri"/>
          <w:sz w:val="20"/>
          <w:szCs w:val="20"/>
        </w:rPr>
        <w:t>n</w:t>
      </w:r>
      <w:r w:rsidR="00EB3A98">
        <w:rPr>
          <w:rFonts w:ascii="Arial" w:hAnsi="Arial" w:cs="Calibri"/>
          <w:sz w:val="20"/>
          <w:szCs w:val="20"/>
        </w:rPr>
        <w:t xml:space="preserve"> </w:t>
      </w:r>
      <w:r w:rsidRPr="007328C8">
        <w:rPr>
          <w:rFonts w:ascii="Arial" w:hAnsi="Arial" w:cs="Calibri"/>
          <w:sz w:val="20"/>
          <w:szCs w:val="20"/>
        </w:rPr>
        <w:t>(%)</w:t>
      </w:r>
      <w:r w:rsidRPr="007328C8">
        <w:rPr>
          <w:rStyle w:val="FootnoteReference"/>
          <w:rFonts w:ascii="Arial" w:hAnsi="Arial" w:cs="Calibri"/>
          <w:sz w:val="20"/>
          <w:szCs w:val="20"/>
        </w:rPr>
        <w:footnoteReference w:id="3"/>
      </w:r>
      <w:r w:rsidRPr="007328C8">
        <w:rPr>
          <w:rFonts w:ascii="Arial" w:hAnsi="Arial" w:cs="Calibri"/>
          <w:i/>
          <w:spacing w:val="-2"/>
          <w:sz w:val="20"/>
          <w:szCs w:val="20"/>
        </w:rPr>
        <w:t>(2014)</w:t>
      </w:r>
      <w:r w:rsidR="00CF74D9" w:rsidRPr="007328C8">
        <w:rPr>
          <w:rFonts w:ascii="Arial" w:hAnsi="Arial"/>
          <w:sz w:val="20"/>
          <w:szCs w:val="20"/>
        </w:rPr>
        <w:tab/>
      </w:r>
      <w:r w:rsidRPr="007328C8">
        <w:rPr>
          <w:rFonts w:ascii="Arial" w:hAnsi="Arial"/>
          <w:sz w:val="20"/>
          <w:szCs w:val="20"/>
        </w:rPr>
        <w:t>48.5</w:t>
      </w:r>
    </w:p>
    <w:p w:rsidR="002508EA" w:rsidRPr="007328C8" w:rsidRDefault="002508EA" w:rsidP="00CF74D9">
      <w:pPr>
        <w:pStyle w:val="TableParagraph"/>
        <w:tabs>
          <w:tab w:val="left" w:pos="5812"/>
        </w:tabs>
        <w:kinsoku w:val="0"/>
        <w:overflowPunct w:val="0"/>
        <w:ind w:left="142" w:hanging="102"/>
        <w:rPr>
          <w:rFonts w:ascii="Arial" w:hAnsi="Arial"/>
          <w:sz w:val="20"/>
          <w:szCs w:val="20"/>
        </w:rPr>
      </w:pPr>
      <w:proofErr w:type="gramStart"/>
      <w:r w:rsidRPr="007328C8">
        <w:rPr>
          <w:rFonts w:ascii="Arial" w:hAnsi="Arial" w:cs="Calibri"/>
          <w:spacing w:val="-1"/>
          <w:sz w:val="20"/>
          <w:szCs w:val="20"/>
        </w:rPr>
        <w:t>G</w:t>
      </w:r>
      <w:r w:rsidRPr="007328C8">
        <w:rPr>
          <w:rFonts w:ascii="Arial" w:hAnsi="Arial" w:cs="Calibri"/>
          <w:spacing w:val="1"/>
          <w:sz w:val="20"/>
          <w:szCs w:val="20"/>
        </w:rPr>
        <w:t>D</w:t>
      </w:r>
      <w:r w:rsidRPr="007328C8">
        <w:rPr>
          <w:rFonts w:ascii="Arial" w:hAnsi="Arial" w:cs="Calibri"/>
          <w:sz w:val="20"/>
          <w:szCs w:val="20"/>
        </w:rPr>
        <w:t>P(</w:t>
      </w:r>
      <w:proofErr w:type="gramEnd"/>
      <w:r w:rsidRPr="007328C8">
        <w:rPr>
          <w:rFonts w:ascii="Arial" w:hAnsi="Arial" w:cs="Calibri"/>
          <w:spacing w:val="-1"/>
          <w:sz w:val="20"/>
          <w:szCs w:val="20"/>
        </w:rPr>
        <w:t>US</w:t>
      </w:r>
      <w:r w:rsidRPr="007328C8">
        <w:rPr>
          <w:rFonts w:ascii="Arial" w:hAnsi="Arial" w:cs="Calibri"/>
          <w:sz w:val="20"/>
          <w:szCs w:val="20"/>
        </w:rPr>
        <w:t>D</w:t>
      </w:r>
      <w:r w:rsidRPr="007328C8">
        <w:rPr>
          <w:rFonts w:ascii="Arial" w:hAnsi="Arial" w:cs="Calibri"/>
          <w:spacing w:val="-4"/>
          <w:sz w:val="20"/>
          <w:szCs w:val="20"/>
        </w:rPr>
        <w:t>/per capita</w:t>
      </w:r>
      <w:r w:rsidRPr="007328C8">
        <w:rPr>
          <w:rFonts w:ascii="Arial" w:hAnsi="Arial" w:cs="Calibri"/>
          <w:sz w:val="20"/>
          <w:szCs w:val="20"/>
        </w:rPr>
        <w:t>)</w:t>
      </w:r>
      <w:r w:rsidR="008D5224">
        <w:rPr>
          <w:rFonts w:ascii="Arial" w:hAnsi="Arial" w:cs="Calibri"/>
          <w:sz w:val="20"/>
          <w:szCs w:val="20"/>
        </w:rPr>
        <w:t xml:space="preserve"> </w:t>
      </w:r>
      <w:r w:rsidR="008D5224" w:rsidRPr="008D5224">
        <w:rPr>
          <w:rFonts w:ascii="Arial" w:hAnsi="Arial" w:cs="Calibri"/>
          <w:sz w:val="20"/>
          <w:szCs w:val="20"/>
          <w:vertAlign w:val="superscript"/>
        </w:rPr>
        <w:t>1</w:t>
      </w:r>
      <w:r w:rsidR="008D5224" w:rsidRPr="007328C8">
        <w:rPr>
          <w:rFonts w:ascii="Arial" w:hAnsi="Arial" w:cs="Calibri"/>
          <w:i/>
          <w:sz w:val="20"/>
          <w:szCs w:val="20"/>
        </w:rPr>
        <w:t xml:space="preserve"> </w:t>
      </w:r>
      <w:r w:rsidR="008D5224">
        <w:rPr>
          <w:rFonts w:ascii="Arial" w:hAnsi="Arial" w:cs="Calibri"/>
          <w:i/>
          <w:sz w:val="20"/>
          <w:szCs w:val="20"/>
        </w:rPr>
        <w:t>(</w:t>
      </w:r>
      <w:r w:rsidRPr="007328C8">
        <w:rPr>
          <w:rFonts w:ascii="Arial" w:hAnsi="Arial" w:cs="Calibri"/>
          <w:i/>
          <w:sz w:val="20"/>
          <w:szCs w:val="20"/>
        </w:rPr>
        <w:t>2013 est</w:t>
      </w:r>
      <w:r w:rsidR="00A55A2C" w:rsidRPr="007328C8">
        <w:rPr>
          <w:rFonts w:ascii="Arial" w:hAnsi="Arial" w:cs="Calibri"/>
          <w:i/>
          <w:sz w:val="20"/>
          <w:szCs w:val="20"/>
        </w:rPr>
        <w:t xml:space="preserve">.) </w:t>
      </w:r>
      <w:r w:rsidR="007C5592" w:rsidRPr="007328C8">
        <w:rPr>
          <w:rFonts w:ascii="Arial" w:hAnsi="Arial" w:cs="Calibri"/>
          <w:i/>
          <w:sz w:val="20"/>
          <w:szCs w:val="20"/>
        </w:rPr>
        <w:tab/>
      </w:r>
      <w:r w:rsidR="00EB3A98">
        <w:rPr>
          <w:rFonts w:ascii="Arial" w:hAnsi="Arial" w:cs="Arial"/>
          <w:spacing w:val="15"/>
          <w:sz w:val="20"/>
          <w:szCs w:val="20"/>
          <w:shd w:val="clear" w:color="auto" w:fill="FFFFFF"/>
        </w:rPr>
        <w:t>2,</w:t>
      </w:r>
      <w:r w:rsidRPr="007328C8">
        <w:rPr>
          <w:rFonts w:ascii="Arial" w:hAnsi="Arial" w:cs="Arial"/>
          <w:spacing w:val="15"/>
          <w:sz w:val="20"/>
          <w:szCs w:val="20"/>
          <w:shd w:val="clear" w:color="auto" w:fill="FFFFFF"/>
        </w:rPr>
        <w:t>800 </w:t>
      </w:r>
    </w:p>
    <w:p w:rsidR="002508EA" w:rsidRPr="00760F87" w:rsidRDefault="002508EA" w:rsidP="00CF74D9">
      <w:pPr>
        <w:pStyle w:val="TableParagraph"/>
        <w:tabs>
          <w:tab w:val="left" w:pos="5812"/>
        </w:tabs>
        <w:kinsoku w:val="0"/>
        <w:overflowPunct w:val="0"/>
        <w:spacing w:line="274" w:lineRule="exact"/>
        <w:rPr>
          <w:rFonts w:ascii="Arial" w:hAnsi="Arial"/>
          <w:sz w:val="20"/>
          <w:szCs w:val="20"/>
        </w:rPr>
      </w:pPr>
      <w:r w:rsidRPr="007328C8">
        <w:rPr>
          <w:rFonts w:ascii="Arial" w:hAnsi="Arial" w:cs="Calibri"/>
          <w:spacing w:val="-1"/>
          <w:sz w:val="20"/>
          <w:szCs w:val="20"/>
        </w:rPr>
        <w:t>Agri</w:t>
      </w:r>
      <w:r w:rsidRPr="007328C8">
        <w:rPr>
          <w:rFonts w:ascii="Arial" w:hAnsi="Arial" w:cs="Calibri"/>
          <w:sz w:val="20"/>
          <w:szCs w:val="20"/>
        </w:rPr>
        <w:t>c</w:t>
      </w:r>
      <w:r w:rsidRPr="007328C8">
        <w:rPr>
          <w:rFonts w:ascii="Arial" w:hAnsi="Arial" w:cs="Calibri"/>
          <w:spacing w:val="-1"/>
          <w:sz w:val="20"/>
          <w:szCs w:val="20"/>
        </w:rPr>
        <w:t>ul</w:t>
      </w:r>
      <w:r w:rsidRPr="007328C8">
        <w:rPr>
          <w:rFonts w:ascii="Arial" w:hAnsi="Arial" w:cs="Calibri"/>
          <w:sz w:val="20"/>
          <w:szCs w:val="20"/>
        </w:rPr>
        <w:t>t</w:t>
      </w:r>
      <w:r w:rsidRPr="007328C8">
        <w:rPr>
          <w:rFonts w:ascii="Arial" w:hAnsi="Arial" w:cs="Calibri"/>
          <w:spacing w:val="-1"/>
          <w:sz w:val="20"/>
          <w:szCs w:val="20"/>
        </w:rPr>
        <w:t>ur</w:t>
      </w:r>
      <w:r w:rsidRPr="007328C8">
        <w:rPr>
          <w:rFonts w:ascii="Arial" w:hAnsi="Arial" w:cs="Calibri"/>
          <w:sz w:val="20"/>
          <w:szCs w:val="20"/>
        </w:rPr>
        <w:t xml:space="preserve">e </w:t>
      </w:r>
      <w:r w:rsidRPr="007328C8">
        <w:rPr>
          <w:rFonts w:ascii="Arial" w:hAnsi="Arial" w:cs="Calibri"/>
          <w:spacing w:val="-1"/>
          <w:sz w:val="20"/>
          <w:szCs w:val="20"/>
        </w:rPr>
        <w:t>G</w:t>
      </w:r>
      <w:r w:rsidRPr="007328C8">
        <w:rPr>
          <w:rFonts w:ascii="Arial" w:hAnsi="Arial" w:cs="Calibri"/>
          <w:spacing w:val="-2"/>
          <w:sz w:val="20"/>
          <w:szCs w:val="20"/>
        </w:rPr>
        <w:t>D</w:t>
      </w:r>
      <w:r w:rsidRPr="007328C8">
        <w:rPr>
          <w:rFonts w:ascii="Arial" w:hAnsi="Arial" w:cs="Calibri"/>
          <w:sz w:val="20"/>
          <w:szCs w:val="20"/>
        </w:rPr>
        <w:t>P</w:t>
      </w:r>
      <w:r w:rsidR="00EB3A98">
        <w:rPr>
          <w:rFonts w:ascii="Arial" w:hAnsi="Arial" w:cs="Calibri"/>
          <w:sz w:val="20"/>
          <w:szCs w:val="20"/>
        </w:rPr>
        <w:t xml:space="preserve"> </w:t>
      </w:r>
      <w:r w:rsidRPr="007328C8">
        <w:rPr>
          <w:rFonts w:ascii="Arial" w:hAnsi="Arial" w:cs="Calibri"/>
          <w:sz w:val="20"/>
          <w:szCs w:val="20"/>
        </w:rPr>
        <w:t>(%</w:t>
      </w:r>
      <w:r w:rsidR="008D5224">
        <w:rPr>
          <w:rFonts w:ascii="Arial" w:hAnsi="Arial" w:cs="Calibri"/>
          <w:sz w:val="20"/>
          <w:szCs w:val="20"/>
        </w:rPr>
        <w:t xml:space="preserve"> </w:t>
      </w:r>
      <w:r w:rsidRPr="007328C8">
        <w:rPr>
          <w:rFonts w:ascii="Arial" w:hAnsi="Arial" w:cs="Calibri"/>
          <w:spacing w:val="1"/>
          <w:sz w:val="20"/>
          <w:szCs w:val="20"/>
        </w:rPr>
        <w:t>o</w:t>
      </w:r>
      <w:r w:rsidRPr="007328C8">
        <w:rPr>
          <w:rFonts w:ascii="Arial" w:hAnsi="Arial" w:cs="Calibri"/>
          <w:sz w:val="20"/>
          <w:szCs w:val="20"/>
        </w:rPr>
        <w:t>f</w:t>
      </w:r>
      <w:r w:rsidR="008D5224">
        <w:rPr>
          <w:rFonts w:ascii="Arial" w:hAnsi="Arial" w:cs="Calibri"/>
          <w:sz w:val="20"/>
          <w:szCs w:val="20"/>
        </w:rPr>
        <w:t xml:space="preserve"> </w:t>
      </w:r>
      <w:r w:rsidRPr="007328C8">
        <w:rPr>
          <w:rFonts w:ascii="Arial" w:hAnsi="Arial" w:cs="Calibri"/>
          <w:sz w:val="20"/>
          <w:szCs w:val="20"/>
        </w:rPr>
        <w:t>t</w:t>
      </w:r>
      <w:r w:rsidRPr="007328C8">
        <w:rPr>
          <w:rFonts w:ascii="Arial" w:hAnsi="Arial" w:cs="Calibri"/>
          <w:spacing w:val="1"/>
          <w:sz w:val="20"/>
          <w:szCs w:val="20"/>
        </w:rPr>
        <w:t>o</w:t>
      </w:r>
      <w:r w:rsidRPr="007328C8">
        <w:rPr>
          <w:rFonts w:ascii="Arial" w:hAnsi="Arial" w:cs="Calibri"/>
          <w:spacing w:val="-2"/>
          <w:sz w:val="20"/>
          <w:szCs w:val="20"/>
        </w:rPr>
        <w:t>t</w:t>
      </w:r>
      <w:r w:rsidRPr="007328C8">
        <w:rPr>
          <w:rFonts w:ascii="Arial" w:hAnsi="Arial" w:cs="Calibri"/>
          <w:spacing w:val="-1"/>
          <w:sz w:val="20"/>
          <w:szCs w:val="20"/>
        </w:rPr>
        <w:t>a</w:t>
      </w:r>
      <w:r w:rsidRPr="007328C8">
        <w:rPr>
          <w:rFonts w:ascii="Arial" w:hAnsi="Arial" w:cs="Calibri"/>
          <w:sz w:val="20"/>
          <w:szCs w:val="20"/>
        </w:rPr>
        <w:t>l</w:t>
      </w:r>
      <w:r w:rsidR="008D5224">
        <w:rPr>
          <w:rFonts w:ascii="Arial" w:hAnsi="Arial" w:cs="Calibri"/>
          <w:sz w:val="20"/>
          <w:szCs w:val="20"/>
        </w:rPr>
        <w:t xml:space="preserve"> </w:t>
      </w:r>
      <w:proofErr w:type="gramStart"/>
      <w:r w:rsidRPr="007328C8">
        <w:rPr>
          <w:rFonts w:ascii="Arial" w:hAnsi="Arial" w:cs="Calibri"/>
          <w:spacing w:val="-1"/>
          <w:sz w:val="20"/>
          <w:szCs w:val="20"/>
        </w:rPr>
        <w:t>G</w:t>
      </w:r>
      <w:r w:rsidRPr="007328C8">
        <w:rPr>
          <w:rFonts w:ascii="Arial" w:hAnsi="Arial" w:cs="Calibri"/>
          <w:spacing w:val="1"/>
          <w:sz w:val="20"/>
          <w:szCs w:val="20"/>
        </w:rPr>
        <w:t>D</w:t>
      </w:r>
      <w:r w:rsidRPr="007328C8">
        <w:rPr>
          <w:rFonts w:ascii="Arial" w:hAnsi="Arial" w:cs="Calibri"/>
          <w:spacing w:val="-2"/>
          <w:sz w:val="20"/>
          <w:szCs w:val="20"/>
        </w:rPr>
        <w:t>P</w:t>
      </w:r>
      <w:r w:rsidRPr="007328C8">
        <w:rPr>
          <w:rFonts w:ascii="Arial" w:hAnsi="Arial" w:cs="Calibri"/>
          <w:sz w:val="20"/>
          <w:szCs w:val="20"/>
        </w:rPr>
        <w:t>)</w:t>
      </w:r>
      <w:r w:rsidR="008D5224" w:rsidRPr="008D5224">
        <w:rPr>
          <w:rFonts w:ascii="Arial" w:hAnsi="Arial" w:cs="Calibri"/>
          <w:sz w:val="20"/>
          <w:szCs w:val="20"/>
          <w:vertAlign w:val="superscript"/>
        </w:rPr>
        <w:t>1</w:t>
      </w:r>
      <w:proofErr w:type="gramEnd"/>
      <w:r w:rsidR="008D5224" w:rsidRPr="007328C8">
        <w:rPr>
          <w:rFonts w:ascii="Arial" w:hAnsi="Arial" w:cs="Calibri"/>
          <w:i/>
          <w:sz w:val="20"/>
          <w:szCs w:val="20"/>
        </w:rPr>
        <w:t xml:space="preserve"> </w:t>
      </w:r>
      <w:r w:rsidRPr="007328C8">
        <w:rPr>
          <w:rFonts w:ascii="Arial" w:hAnsi="Arial" w:cs="Calibri"/>
          <w:i/>
          <w:sz w:val="20"/>
          <w:szCs w:val="20"/>
        </w:rPr>
        <w:t>(2013)</w:t>
      </w:r>
      <w:r w:rsidR="007C5592">
        <w:rPr>
          <w:rFonts w:ascii="Arial" w:hAnsi="Arial"/>
          <w:sz w:val="20"/>
          <w:szCs w:val="20"/>
        </w:rPr>
        <w:tab/>
      </w:r>
      <w:r w:rsidRPr="00760F87">
        <w:rPr>
          <w:rFonts w:ascii="Arial" w:hAnsi="Arial"/>
          <w:sz w:val="20"/>
          <w:szCs w:val="20"/>
        </w:rPr>
        <w:t>30.9</w:t>
      </w:r>
    </w:p>
    <w:p w:rsidR="002508EA" w:rsidRPr="007328C8" w:rsidRDefault="002508EA" w:rsidP="007C5592">
      <w:pPr>
        <w:pStyle w:val="TableParagraph"/>
        <w:tabs>
          <w:tab w:val="left" w:pos="5812"/>
        </w:tabs>
        <w:kinsoku w:val="0"/>
        <w:overflowPunct w:val="0"/>
        <w:rPr>
          <w:rFonts w:ascii="Arial" w:hAnsi="Arial"/>
          <w:sz w:val="20"/>
          <w:szCs w:val="20"/>
        </w:rPr>
      </w:pPr>
      <w:r w:rsidRPr="007328C8">
        <w:rPr>
          <w:rFonts w:ascii="Arial" w:hAnsi="Arial" w:cs="Calibri"/>
          <w:spacing w:val="-1"/>
          <w:sz w:val="20"/>
          <w:szCs w:val="20"/>
        </w:rPr>
        <w:t>Agri</w:t>
      </w:r>
      <w:r w:rsidRPr="007328C8">
        <w:rPr>
          <w:rFonts w:ascii="Arial" w:hAnsi="Arial" w:cs="Calibri"/>
          <w:sz w:val="20"/>
          <w:szCs w:val="20"/>
        </w:rPr>
        <w:t>c</w:t>
      </w:r>
      <w:r w:rsidRPr="007328C8">
        <w:rPr>
          <w:rFonts w:ascii="Arial" w:hAnsi="Arial" w:cs="Calibri"/>
          <w:spacing w:val="-1"/>
          <w:sz w:val="20"/>
          <w:szCs w:val="20"/>
        </w:rPr>
        <w:t>ul</w:t>
      </w:r>
      <w:r w:rsidRPr="007328C8">
        <w:rPr>
          <w:rFonts w:ascii="Arial" w:hAnsi="Arial" w:cs="Calibri"/>
          <w:sz w:val="20"/>
          <w:szCs w:val="20"/>
        </w:rPr>
        <w:t>t</w:t>
      </w:r>
      <w:r w:rsidRPr="007328C8">
        <w:rPr>
          <w:rFonts w:ascii="Arial" w:hAnsi="Arial" w:cs="Calibri"/>
          <w:spacing w:val="-1"/>
          <w:sz w:val="20"/>
          <w:szCs w:val="20"/>
        </w:rPr>
        <w:t>ura</w:t>
      </w:r>
      <w:r w:rsidRPr="007328C8">
        <w:rPr>
          <w:rFonts w:ascii="Arial" w:hAnsi="Arial" w:cs="Calibri"/>
          <w:sz w:val="20"/>
          <w:szCs w:val="20"/>
        </w:rPr>
        <w:t>l L</w:t>
      </w:r>
      <w:r w:rsidRPr="007328C8">
        <w:rPr>
          <w:rFonts w:ascii="Arial" w:hAnsi="Arial" w:cs="Calibri"/>
          <w:spacing w:val="-1"/>
          <w:sz w:val="20"/>
          <w:szCs w:val="20"/>
        </w:rPr>
        <w:t>an</w:t>
      </w:r>
      <w:r w:rsidRPr="007328C8">
        <w:rPr>
          <w:rFonts w:ascii="Arial" w:hAnsi="Arial" w:cs="Calibri"/>
          <w:sz w:val="20"/>
          <w:szCs w:val="20"/>
        </w:rPr>
        <w:t>d</w:t>
      </w:r>
      <w:r w:rsidR="00EB3A98">
        <w:rPr>
          <w:rFonts w:ascii="Arial" w:hAnsi="Arial" w:cs="Calibri"/>
          <w:sz w:val="20"/>
          <w:szCs w:val="20"/>
        </w:rPr>
        <w:t xml:space="preserve"> </w:t>
      </w:r>
      <w:r w:rsidRPr="007328C8">
        <w:rPr>
          <w:rFonts w:ascii="Arial" w:hAnsi="Arial" w:cs="Calibri"/>
          <w:sz w:val="20"/>
          <w:szCs w:val="20"/>
        </w:rPr>
        <w:t>(t</w:t>
      </w:r>
      <w:r w:rsidRPr="007328C8">
        <w:rPr>
          <w:rFonts w:ascii="Arial" w:hAnsi="Arial" w:cs="Calibri"/>
          <w:spacing w:val="-4"/>
          <w:sz w:val="20"/>
          <w:szCs w:val="20"/>
        </w:rPr>
        <w:t>h</w:t>
      </w:r>
      <w:r w:rsidRPr="007328C8">
        <w:rPr>
          <w:rFonts w:ascii="Arial" w:hAnsi="Arial" w:cs="Calibri"/>
          <w:spacing w:val="1"/>
          <w:sz w:val="20"/>
          <w:szCs w:val="20"/>
        </w:rPr>
        <w:t>o</w:t>
      </w:r>
      <w:r w:rsidRPr="007328C8">
        <w:rPr>
          <w:rFonts w:ascii="Arial" w:hAnsi="Arial" w:cs="Calibri"/>
          <w:spacing w:val="-1"/>
          <w:sz w:val="20"/>
          <w:szCs w:val="20"/>
        </w:rPr>
        <w:t>usa</w:t>
      </w:r>
      <w:r w:rsidRPr="007328C8">
        <w:rPr>
          <w:rFonts w:ascii="Arial" w:hAnsi="Arial" w:cs="Calibri"/>
          <w:spacing w:val="-4"/>
          <w:sz w:val="20"/>
          <w:szCs w:val="20"/>
        </w:rPr>
        <w:t>n</w:t>
      </w:r>
      <w:r w:rsidRPr="007328C8">
        <w:rPr>
          <w:rFonts w:ascii="Arial" w:hAnsi="Arial" w:cs="Calibri"/>
          <w:sz w:val="20"/>
          <w:szCs w:val="20"/>
        </w:rPr>
        <w:t>d</w:t>
      </w:r>
      <w:r w:rsidRPr="007328C8">
        <w:rPr>
          <w:rFonts w:ascii="Arial" w:hAnsi="Arial" w:cs="Calibri"/>
          <w:spacing w:val="-1"/>
          <w:sz w:val="20"/>
          <w:szCs w:val="20"/>
        </w:rPr>
        <w:t xml:space="preserve"> </w:t>
      </w:r>
      <w:proofErr w:type="gramStart"/>
      <w:r w:rsidRPr="007328C8">
        <w:rPr>
          <w:rFonts w:ascii="Arial" w:hAnsi="Arial" w:cs="Calibri"/>
          <w:spacing w:val="-1"/>
          <w:sz w:val="20"/>
          <w:szCs w:val="20"/>
        </w:rPr>
        <w:t>ha</w:t>
      </w:r>
      <w:r w:rsidRPr="007328C8">
        <w:rPr>
          <w:rFonts w:ascii="Arial" w:hAnsi="Arial" w:cs="Calibri"/>
          <w:sz w:val="20"/>
          <w:szCs w:val="20"/>
        </w:rPr>
        <w:t>)</w:t>
      </w:r>
      <w:r w:rsidR="008D5224" w:rsidRPr="008D5224">
        <w:rPr>
          <w:rFonts w:ascii="Arial" w:hAnsi="Arial" w:cs="Calibri"/>
          <w:sz w:val="20"/>
          <w:szCs w:val="20"/>
          <w:vertAlign w:val="superscript"/>
        </w:rPr>
        <w:t>3</w:t>
      </w:r>
      <w:proofErr w:type="gramEnd"/>
      <w:r w:rsidR="008D5224" w:rsidRPr="007328C8">
        <w:rPr>
          <w:rFonts w:ascii="Arial" w:hAnsi="Arial" w:cs="Calibri"/>
          <w:i/>
          <w:sz w:val="20"/>
          <w:szCs w:val="20"/>
        </w:rPr>
        <w:t xml:space="preserve"> </w:t>
      </w:r>
      <w:r w:rsidRPr="007328C8">
        <w:rPr>
          <w:rFonts w:ascii="Arial" w:hAnsi="Arial" w:cs="Calibri"/>
          <w:i/>
          <w:sz w:val="20"/>
          <w:szCs w:val="20"/>
        </w:rPr>
        <w:t>(2011)</w:t>
      </w:r>
      <w:r w:rsidR="007C5592" w:rsidRPr="007328C8">
        <w:rPr>
          <w:rFonts w:ascii="Arial" w:hAnsi="Arial"/>
          <w:sz w:val="20"/>
          <w:szCs w:val="20"/>
        </w:rPr>
        <w:tab/>
      </w:r>
      <w:r w:rsidRPr="007328C8">
        <w:rPr>
          <w:rFonts w:ascii="Arial" w:hAnsi="Arial"/>
          <w:sz w:val="20"/>
          <w:szCs w:val="20"/>
        </w:rPr>
        <w:t>76,200</w:t>
      </w:r>
    </w:p>
    <w:p w:rsidR="002508EA" w:rsidRPr="007328C8" w:rsidRDefault="002508EA" w:rsidP="007C5592">
      <w:pPr>
        <w:pStyle w:val="TableParagraph"/>
        <w:tabs>
          <w:tab w:val="left" w:pos="5812"/>
        </w:tabs>
        <w:kinsoku w:val="0"/>
        <w:overflowPunct w:val="0"/>
        <w:rPr>
          <w:rFonts w:ascii="Arial" w:hAnsi="Arial" w:cs="Calibri"/>
          <w:spacing w:val="-1"/>
          <w:sz w:val="20"/>
          <w:szCs w:val="20"/>
        </w:rPr>
      </w:pPr>
      <w:r w:rsidRPr="007328C8">
        <w:rPr>
          <w:rFonts w:ascii="Arial" w:hAnsi="Arial" w:cs="Calibri"/>
          <w:spacing w:val="-1"/>
          <w:sz w:val="20"/>
          <w:szCs w:val="20"/>
        </w:rPr>
        <w:t>Agri</w:t>
      </w:r>
      <w:r w:rsidRPr="007328C8">
        <w:rPr>
          <w:rFonts w:ascii="Arial" w:hAnsi="Arial" w:cs="Calibri"/>
          <w:sz w:val="20"/>
          <w:szCs w:val="20"/>
        </w:rPr>
        <w:t>c</w:t>
      </w:r>
      <w:r w:rsidRPr="007328C8">
        <w:rPr>
          <w:rFonts w:ascii="Arial" w:hAnsi="Arial" w:cs="Calibri"/>
          <w:spacing w:val="-1"/>
          <w:sz w:val="20"/>
          <w:szCs w:val="20"/>
        </w:rPr>
        <w:t>ul</w:t>
      </w:r>
      <w:r w:rsidRPr="007328C8">
        <w:rPr>
          <w:rFonts w:ascii="Arial" w:hAnsi="Arial" w:cs="Calibri"/>
          <w:sz w:val="20"/>
          <w:szCs w:val="20"/>
        </w:rPr>
        <w:t>t</w:t>
      </w:r>
      <w:r w:rsidRPr="007328C8">
        <w:rPr>
          <w:rFonts w:ascii="Arial" w:hAnsi="Arial" w:cs="Calibri"/>
          <w:spacing w:val="-1"/>
          <w:sz w:val="20"/>
          <w:szCs w:val="20"/>
        </w:rPr>
        <w:t>ura</w:t>
      </w:r>
      <w:r w:rsidRPr="007328C8">
        <w:rPr>
          <w:rFonts w:ascii="Arial" w:hAnsi="Arial" w:cs="Calibri"/>
          <w:sz w:val="20"/>
          <w:szCs w:val="20"/>
        </w:rPr>
        <w:t>l L</w:t>
      </w:r>
      <w:r w:rsidRPr="007328C8">
        <w:rPr>
          <w:rFonts w:ascii="Arial" w:hAnsi="Arial" w:cs="Calibri"/>
          <w:spacing w:val="-1"/>
          <w:sz w:val="20"/>
          <w:szCs w:val="20"/>
        </w:rPr>
        <w:t>an</w:t>
      </w:r>
      <w:r w:rsidRPr="007328C8">
        <w:rPr>
          <w:rFonts w:ascii="Arial" w:hAnsi="Arial" w:cs="Calibri"/>
          <w:sz w:val="20"/>
          <w:szCs w:val="20"/>
        </w:rPr>
        <w:t>d (</w:t>
      </w:r>
      <w:r w:rsidRPr="007328C8">
        <w:rPr>
          <w:rFonts w:ascii="Arial" w:hAnsi="Arial" w:cs="Calibri"/>
          <w:spacing w:val="-2"/>
          <w:sz w:val="20"/>
          <w:szCs w:val="20"/>
        </w:rPr>
        <w:t>%</w:t>
      </w:r>
      <w:r w:rsidRPr="007328C8">
        <w:rPr>
          <w:rFonts w:ascii="Arial" w:hAnsi="Arial" w:cs="Calibri"/>
          <w:sz w:val="20"/>
          <w:szCs w:val="20"/>
        </w:rPr>
        <w:t>)</w:t>
      </w:r>
      <w:r w:rsidR="008D5224" w:rsidRPr="008D5224">
        <w:rPr>
          <w:rFonts w:ascii="Arial" w:hAnsi="Arial" w:cs="Calibri"/>
          <w:sz w:val="20"/>
          <w:szCs w:val="20"/>
          <w:vertAlign w:val="superscript"/>
        </w:rPr>
        <w:t>3</w:t>
      </w:r>
      <w:r w:rsidR="008D5224" w:rsidRPr="007328C8">
        <w:rPr>
          <w:rFonts w:ascii="Arial" w:hAnsi="Arial" w:cs="Calibri"/>
          <w:i/>
          <w:sz w:val="20"/>
          <w:szCs w:val="20"/>
        </w:rPr>
        <w:t xml:space="preserve"> </w:t>
      </w:r>
      <w:r w:rsidRPr="007328C8">
        <w:rPr>
          <w:rFonts w:ascii="Arial" w:hAnsi="Arial" w:cs="Calibri"/>
          <w:i/>
          <w:sz w:val="20"/>
          <w:szCs w:val="20"/>
        </w:rPr>
        <w:t>(2011)</w:t>
      </w:r>
      <w:r w:rsidR="007C5592" w:rsidRPr="007328C8">
        <w:rPr>
          <w:rFonts w:ascii="Arial" w:hAnsi="Arial" w:cs="Calibri"/>
          <w:spacing w:val="-1"/>
          <w:sz w:val="20"/>
          <w:szCs w:val="20"/>
        </w:rPr>
        <w:tab/>
      </w:r>
      <w:r w:rsidRPr="007328C8">
        <w:rPr>
          <w:rFonts w:ascii="Arial" w:hAnsi="Arial"/>
          <w:sz w:val="20"/>
          <w:szCs w:val="20"/>
        </w:rPr>
        <w:t>83.7</w:t>
      </w:r>
    </w:p>
    <w:p w:rsidR="002508EA" w:rsidRPr="007328C8" w:rsidRDefault="002508EA" w:rsidP="007C5592">
      <w:pPr>
        <w:pStyle w:val="Default"/>
        <w:tabs>
          <w:tab w:val="left" w:pos="5245"/>
          <w:tab w:val="left" w:pos="5812"/>
        </w:tabs>
        <w:rPr>
          <w:rFonts w:ascii="Arial" w:hAnsi="Arial" w:cs="Times New Roman"/>
          <w:color w:val="auto"/>
          <w:sz w:val="20"/>
          <w:szCs w:val="20"/>
        </w:rPr>
      </w:pPr>
      <w:r w:rsidRPr="007328C8">
        <w:rPr>
          <w:rFonts w:ascii="Arial" w:hAnsi="Arial" w:cs="Times New Roman"/>
          <w:color w:val="auto"/>
          <w:sz w:val="20"/>
          <w:szCs w:val="20"/>
        </w:rPr>
        <w:t xml:space="preserve">Population aged between 15-24 years </w:t>
      </w:r>
      <w:r w:rsidRPr="007328C8">
        <w:rPr>
          <w:rFonts w:ascii="Arial" w:hAnsi="Arial"/>
          <w:color w:val="auto"/>
          <w:sz w:val="20"/>
          <w:szCs w:val="20"/>
        </w:rPr>
        <w:t>(%)</w:t>
      </w:r>
      <w:r w:rsidR="008D5224" w:rsidRPr="008D5224">
        <w:rPr>
          <w:rFonts w:ascii="Arial" w:hAnsi="Arial"/>
          <w:color w:val="auto"/>
          <w:sz w:val="20"/>
          <w:szCs w:val="20"/>
          <w:vertAlign w:val="superscript"/>
        </w:rPr>
        <w:t>1</w:t>
      </w:r>
      <w:r w:rsidR="008D5224" w:rsidRPr="007328C8">
        <w:rPr>
          <w:rFonts w:ascii="Arial" w:hAnsi="Arial"/>
          <w:i/>
          <w:color w:val="auto"/>
          <w:sz w:val="20"/>
          <w:szCs w:val="20"/>
        </w:rPr>
        <w:t xml:space="preserve"> </w:t>
      </w:r>
      <w:r w:rsidRPr="007328C8">
        <w:rPr>
          <w:rFonts w:ascii="Arial" w:hAnsi="Arial"/>
          <w:i/>
          <w:color w:val="auto"/>
          <w:sz w:val="20"/>
          <w:szCs w:val="20"/>
        </w:rPr>
        <w:t>(2014)</w:t>
      </w:r>
      <w:r w:rsidR="00CF74D9" w:rsidRPr="007328C8">
        <w:rPr>
          <w:rFonts w:ascii="Arial" w:hAnsi="Arial" w:cs="Times New Roman"/>
          <w:color w:val="auto"/>
          <w:sz w:val="20"/>
          <w:szCs w:val="20"/>
        </w:rPr>
        <w:tab/>
      </w:r>
      <w:r w:rsidR="007C5592" w:rsidRPr="007328C8">
        <w:rPr>
          <w:rFonts w:ascii="Arial" w:hAnsi="Arial" w:cs="Times New Roman"/>
          <w:color w:val="auto"/>
          <w:sz w:val="20"/>
          <w:szCs w:val="20"/>
        </w:rPr>
        <w:tab/>
      </w:r>
      <w:r w:rsidR="00EB3A98">
        <w:rPr>
          <w:rFonts w:ascii="Arial" w:hAnsi="Arial" w:cs="Times New Roman"/>
          <w:color w:val="auto"/>
          <w:sz w:val="20"/>
          <w:szCs w:val="20"/>
        </w:rPr>
        <w:t>1</w:t>
      </w:r>
      <w:r w:rsidRPr="007328C8">
        <w:rPr>
          <w:rFonts w:ascii="Arial" w:hAnsi="Arial" w:cs="Times New Roman"/>
          <w:color w:val="auto"/>
          <w:sz w:val="20"/>
          <w:szCs w:val="20"/>
        </w:rPr>
        <w:t>9.3</w:t>
      </w:r>
    </w:p>
    <w:p w:rsidR="002508EA" w:rsidRPr="007328C8" w:rsidRDefault="002508EA" w:rsidP="007C5592">
      <w:pPr>
        <w:tabs>
          <w:tab w:val="left" w:pos="5245"/>
          <w:tab w:val="left" w:pos="5812"/>
        </w:tabs>
        <w:spacing w:after="0" w:line="240" w:lineRule="auto"/>
        <w:rPr>
          <w:rFonts w:ascii="Arial" w:eastAsia="MS Mincho" w:hAnsi="Arial"/>
          <w:i/>
          <w:sz w:val="20"/>
          <w:szCs w:val="20"/>
        </w:rPr>
      </w:pPr>
      <w:r w:rsidRPr="007328C8">
        <w:rPr>
          <w:rFonts w:ascii="Arial" w:eastAsia="MS Mincho" w:hAnsi="Arial"/>
          <w:sz w:val="20"/>
          <w:szCs w:val="20"/>
        </w:rPr>
        <w:t>Median age of population (</w:t>
      </w:r>
      <w:proofErr w:type="gramStart"/>
      <w:r w:rsidRPr="007328C8">
        <w:rPr>
          <w:rFonts w:ascii="Arial" w:eastAsia="MS Mincho" w:hAnsi="Arial"/>
          <w:sz w:val="20"/>
          <w:szCs w:val="20"/>
        </w:rPr>
        <w:t>years)</w:t>
      </w:r>
      <w:r w:rsidR="008D5224" w:rsidRPr="008D5224">
        <w:rPr>
          <w:rFonts w:ascii="Arial" w:eastAsia="MS Mincho" w:hAnsi="Arial"/>
          <w:sz w:val="20"/>
          <w:szCs w:val="20"/>
          <w:vertAlign w:val="superscript"/>
        </w:rPr>
        <w:t>1</w:t>
      </w:r>
      <w:proofErr w:type="gramEnd"/>
      <w:r w:rsidR="008D5224" w:rsidRPr="007328C8">
        <w:rPr>
          <w:rFonts w:ascii="Arial" w:eastAsia="MS Mincho" w:hAnsi="Arial"/>
          <w:i/>
          <w:sz w:val="20"/>
          <w:szCs w:val="20"/>
        </w:rPr>
        <w:t xml:space="preserve"> </w:t>
      </w:r>
      <w:r w:rsidRPr="007328C8">
        <w:rPr>
          <w:rFonts w:ascii="Arial" w:eastAsia="MS Mincho" w:hAnsi="Arial"/>
          <w:i/>
          <w:sz w:val="20"/>
          <w:szCs w:val="20"/>
        </w:rPr>
        <w:t xml:space="preserve">(2014)  </w:t>
      </w:r>
      <w:r w:rsidR="00CF74D9" w:rsidRPr="007328C8">
        <w:rPr>
          <w:rFonts w:ascii="Arial" w:eastAsia="MS Mincho" w:hAnsi="Arial"/>
          <w:i/>
          <w:sz w:val="20"/>
          <w:szCs w:val="20"/>
        </w:rPr>
        <w:tab/>
      </w:r>
      <w:r w:rsidR="007C5592" w:rsidRPr="007328C8">
        <w:rPr>
          <w:rFonts w:ascii="Arial" w:eastAsia="MS Mincho" w:hAnsi="Arial"/>
          <w:i/>
          <w:sz w:val="20"/>
          <w:szCs w:val="20"/>
        </w:rPr>
        <w:tab/>
      </w:r>
      <w:r w:rsidRPr="007328C8">
        <w:rPr>
          <w:rFonts w:ascii="Arial" w:hAnsi="Arial" w:cs="Times New Roman"/>
          <w:sz w:val="20"/>
          <w:szCs w:val="20"/>
        </w:rPr>
        <w:t>18.2</w:t>
      </w:r>
    </w:p>
    <w:p w:rsidR="002508EA" w:rsidRPr="007328C8" w:rsidRDefault="002508EA" w:rsidP="007C5592">
      <w:pPr>
        <w:pStyle w:val="TableParagraph"/>
        <w:tabs>
          <w:tab w:val="left" w:pos="5245"/>
          <w:tab w:val="left" w:pos="5812"/>
        </w:tabs>
        <w:kinsoku w:val="0"/>
        <w:overflowPunct w:val="0"/>
        <w:rPr>
          <w:rFonts w:ascii="Arial" w:hAnsi="Arial" w:cs="Calibri"/>
          <w:spacing w:val="-1"/>
          <w:sz w:val="20"/>
          <w:szCs w:val="20"/>
        </w:rPr>
      </w:pPr>
      <w:r w:rsidRPr="007328C8">
        <w:rPr>
          <w:rFonts w:ascii="Arial" w:hAnsi="Arial" w:cs="Calibri"/>
          <w:spacing w:val="-1"/>
          <w:sz w:val="20"/>
          <w:szCs w:val="20"/>
        </w:rPr>
        <w:t>Average rural family size</w:t>
      </w:r>
      <w:r w:rsidR="008D5224" w:rsidRPr="008D5224">
        <w:rPr>
          <w:rFonts w:ascii="Arial" w:hAnsi="Arial" w:cs="Calibri"/>
          <w:spacing w:val="-1"/>
          <w:sz w:val="20"/>
          <w:szCs w:val="20"/>
          <w:vertAlign w:val="superscript"/>
        </w:rPr>
        <w:t>3</w:t>
      </w:r>
      <w:r w:rsidRPr="007328C8">
        <w:rPr>
          <w:rFonts w:ascii="Arial" w:hAnsi="Arial" w:cs="Calibri"/>
          <w:spacing w:val="-1"/>
          <w:sz w:val="20"/>
          <w:szCs w:val="20"/>
        </w:rPr>
        <w:t xml:space="preserve"> </w:t>
      </w:r>
      <w:r w:rsidR="007328C8">
        <w:rPr>
          <w:rFonts w:ascii="Arial" w:hAnsi="Arial" w:cs="Calibri"/>
          <w:spacing w:val="-1"/>
          <w:sz w:val="20"/>
          <w:szCs w:val="20"/>
        </w:rPr>
        <w:t>(2013)</w:t>
      </w:r>
      <w:r w:rsidR="00CF74D9" w:rsidRPr="007328C8">
        <w:rPr>
          <w:rFonts w:ascii="Arial" w:hAnsi="Arial" w:cs="Calibri"/>
          <w:spacing w:val="-1"/>
          <w:sz w:val="20"/>
          <w:szCs w:val="20"/>
        </w:rPr>
        <w:tab/>
      </w:r>
      <w:r w:rsidR="007C5592" w:rsidRPr="007328C8">
        <w:rPr>
          <w:rFonts w:ascii="Arial" w:hAnsi="Arial" w:cs="Calibri"/>
          <w:spacing w:val="-1"/>
          <w:sz w:val="20"/>
          <w:szCs w:val="20"/>
        </w:rPr>
        <w:tab/>
      </w:r>
      <w:r w:rsidRPr="007328C8">
        <w:rPr>
          <w:rFonts w:ascii="Arial" w:hAnsi="Arial"/>
          <w:sz w:val="20"/>
          <w:szCs w:val="20"/>
        </w:rPr>
        <w:t xml:space="preserve">4.9 </w:t>
      </w:r>
    </w:p>
    <w:p w:rsidR="002508EA" w:rsidRPr="00760F87" w:rsidRDefault="002508EA" w:rsidP="007328C8">
      <w:pPr>
        <w:pStyle w:val="Default"/>
        <w:tabs>
          <w:tab w:val="left" w:pos="5245"/>
          <w:tab w:val="left" w:pos="5812"/>
        </w:tabs>
        <w:rPr>
          <w:rFonts w:ascii="Arial" w:hAnsi="Arial" w:cs="Times New Roman"/>
          <w:color w:val="auto"/>
          <w:sz w:val="20"/>
          <w:szCs w:val="20"/>
        </w:rPr>
      </w:pPr>
      <w:r w:rsidRPr="007328C8">
        <w:rPr>
          <w:rFonts w:ascii="Arial" w:hAnsi="Arial" w:cs="Times New Roman"/>
          <w:color w:val="auto"/>
          <w:sz w:val="20"/>
          <w:szCs w:val="20"/>
        </w:rPr>
        <w:lastRenderedPageBreak/>
        <w:t>Number of farming families in country [calculated]</w:t>
      </w:r>
      <w:r w:rsidRPr="007328C8">
        <w:rPr>
          <w:rStyle w:val="FootnoteReference"/>
          <w:rFonts w:ascii="Arial" w:hAnsi="Arial" w:cs="Times New Roman"/>
          <w:color w:val="auto"/>
          <w:sz w:val="20"/>
          <w:szCs w:val="20"/>
        </w:rPr>
        <w:footnoteReference w:id="4"/>
      </w:r>
      <w:r w:rsidR="00CF74D9">
        <w:rPr>
          <w:rFonts w:ascii="Arial" w:hAnsi="Arial" w:cs="Times New Roman"/>
          <w:color w:val="auto"/>
          <w:sz w:val="20"/>
          <w:szCs w:val="20"/>
        </w:rPr>
        <w:tab/>
      </w:r>
      <w:r w:rsidR="007C5592">
        <w:rPr>
          <w:rFonts w:ascii="Arial" w:hAnsi="Arial" w:cs="Times New Roman"/>
          <w:color w:val="auto"/>
          <w:sz w:val="20"/>
          <w:szCs w:val="20"/>
        </w:rPr>
        <w:tab/>
      </w:r>
      <w:r>
        <w:rPr>
          <w:rFonts w:ascii="Arial" w:hAnsi="Arial" w:cs="Times New Roman"/>
          <w:color w:val="auto"/>
          <w:sz w:val="20"/>
          <w:szCs w:val="20"/>
        </w:rPr>
        <w:t>17.54</w:t>
      </w:r>
    </w:p>
    <w:p w:rsidR="007328C8" w:rsidRDefault="007328C8" w:rsidP="007328C8">
      <w:pPr>
        <w:spacing w:after="0" w:line="240" w:lineRule="auto"/>
        <w:rPr>
          <w:rFonts w:ascii="Arial" w:hAnsi="Arial" w:cs="Arial"/>
          <w:b/>
          <w:color w:val="92D050"/>
          <w:sz w:val="24"/>
          <w:szCs w:val="24"/>
        </w:rPr>
      </w:pPr>
    </w:p>
    <w:p w:rsidR="002659E6" w:rsidRPr="0002792B" w:rsidRDefault="002659E6" w:rsidP="008D5224">
      <w:pPr>
        <w:spacing w:after="120" w:line="240" w:lineRule="auto"/>
        <w:rPr>
          <w:rFonts w:ascii="Arial" w:hAnsi="Arial" w:cs="Arial"/>
          <w:sz w:val="20"/>
          <w:szCs w:val="20"/>
        </w:rPr>
      </w:pPr>
      <w:r w:rsidRPr="0002792B">
        <w:rPr>
          <w:rFonts w:ascii="Arial" w:hAnsi="Arial" w:cs="Arial"/>
          <w:sz w:val="20"/>
          <w:szCs w:val="20"/>
        </w:rPr>
        <w:t xml:space="preserve">The agricultural sector in Nigeria accounts for approximately 31% of </w:t>
      </w:r>
      <w:r w:rsidR="007328C8">
        <w:rPr>
          <w:rFonts w:ascii="Arial" w:hAnsi="Arial" w:cs="Arial"/>
          <w:sz w:val="20"/>
          <w:szCs w:val="20"/>
        </w:rPr>
        <w:t>gross domestic product</w:t>
      </w:r>
      <w:r w:rsidRPr="0002792B">
        <w:rPr>
          <w:rFonts w:ascii="Arial" w:hAnsi="Arial" w:cs="Arial"/>
          <w:sz w:val="20"/>
          <w:szCs w:val="20"/>
        </w:rPr>
        <w:t xml:space="preserve"> and employs 70% of the active population</w:t>
      </w:r>
      <w:r w:rsidR="008D5224" w:rsidRPr="008D5224">
        <w:rPr>
          <w:rFonts w:ascii="Arial" w:hAnsi="Arial" w:cs="Arial"/>
          <w:sz w:val="20"/>
          <w:szCs w:val="20"/>
          <w:vertAlign w:val="superscript"/>
        </w:rPr>
        <w:t>1</w:t>
      </w:r>
      <w:r w:rsidRPr="0002792B">
        <w:rPr>
          <w:rFonts w:ascii="Arial" w:hAnsi="Arial" w:cs="Arial"/>
          <w:sz w:val="20"/>
          <w:szCs w:val="20"/>
        </w:rPr>
        <w:t>. Although the sector occupies this strategic position in the national economy, there is an admission that decades of under-investment in the various components, including extension and research, coupled with erratic policy reforms and implementation, have left the sector operating below its true potential.</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One critical indicator of the under</w:t>
      </w:r>
      <w:r>
        <w:rPr>
          <w:rFonts w:ascii="Arial" w:hAnsi="Arial" w:cs="Arial"/>
          <w:sz w:val="20"/>
          <w:szCs w:val="20"/>
        </w:rPr>
        <w:t>-</w:t>
      </w:r>
      <w:r w:rsidRPr="0002792B">
        <w:rPr>
          <w:rFonts w:ascii="Arial" w:hAnsi="Arial" w:cs="Arial"/>
          <w:sz w:val="20"/>
          <w:szCs w:val="20"/>
        </w:rPr>
        <w:t>investment is Nigeria's fertilizer use figures: at 4.8 kg per hectare of arable land in 2012</w:t>
      </w:r>
      <w:r w:rsidR="008D5224">
        <w:rPr>
          <w:rStyle w:val="FootnoteReference"/>
          <w:rFonts w:ascii="Arial" w:hAnsi="Arial" w:cs="Arial"/>
          <w:sz w:val="20"/>
          <w:szCs w:val="20"/>
        </w:rPr>
        <w:footnoteReference w:id="5"/>
      </w:r>
      <w:r w:rsidRPr="0002792B">
        <w:rPr>
          <w:rFonts w:ascii="Arial" w:hAnsi="Arial" w:cs="Arial"/>
          <w:sz w:val="20"/>
          <w:szCs w:val="20"/>
        </w:rPr>
        <w:t xml:space="preserve">, this </w:t>
      </w:r>
      <w:r>
        <w:rPr>
          <w:rFonts w:ascii="Arial" w:hAnsi="Arial" w:cs="Arial"/>
          <w:sz w:val="20"/>
          <w:szCs w:val="20"/>
        </w:rPr>
        <w:t xml:space="preserve">is </w:t>
      </w:r>
      <w:r w:rsidRPr="0002792B">
        <w:rPr>
          <w:rFonts w:ascii="Arial" w:hAnsi="Arial" w:cs="Arial"/>
          <w:sz w:val="20"/>
          <w:szCs w:val="20"/>
        </w:rPr>
        <w:t>way below the Abuja Declaration target of 50 kg per hectare and amongst the lowest use rates in the world, despite decades of aggressive subsidy. Other challenges</w:t>
      </w:r>
      <w:r w:rsidR="007328C8">
        <w:rPr>
          <w:rFonts w:ascii="Arial" w:hAnsi="Arial" w:cs="Arial"/>
          <w:sz w:val="20"/>
          <w:szCs w:val="20"/>
        </w:rPr>
        <w:t xml:space="preserve"> that have kept productivity low</w:t>
      </w:r>
      <w:r w:rsidRPr="0002792B">
        <w:rPr>
          <w:rFonts w:ascii="Arial" w:hAnsi="Arial" w:cs="Arial"/>
          <w:sz w:val="20"/>
          <w:szCs w:val="20"/>
        </w:rPr>
        <w:t xml:space="preserve"> include low private sector participation and weak research-extension-farmer-inputs linkages.</w:t>
      </w:r>
    </w:p>
    <w:p w:rsidR="002659E6" w:rsidRDefault="007328C8" w:rsidP="006D01EE">
      <w:pPr>
        <w:spacing w:after="120" w:line="240" w:lineRule="auto"/>
        <w:rPr>
          <w:rFonts w:ascii="Arial" w:hAnsi="Arial" w:cs="Arial"/>
          <w:sz w:val="20"/>
          <w:szCs w:val="20"/>
        </w:rPr>
      </w:pPr>
      <w:r>
        <w:rPr>
          <w:rFonts w:ascii="Arial" w:hAnsi="Arial" w:cs="Arial"/>
          <w:sz w:val="20"/>
          <w:szCs w:val="20"/>
        </w:rPr>
        <w:t>T</w:t>
      </w:r>
      <w:r w:rsidR="002659E6" w:rsidRPr="0002792B">
        <w:rPr>
          <w:rFonts w:ascii="Arial" w:hAnsi="Arial" w:cs="Arial"/>
          <w:sz w:val="20"/>
          <w:szCs w:val="20"/>
        </w:rPr>
        <w:t>he agricultural sector in Nigeria is poised for transformation following the launch of the Agricultural Transformation Agenda in 2011</w:t>
      </w:r>
      <w:r w:rsidR="002659E6" w:rsidRPr="0002792B">
        <w:rPr>
          <w:rStyle w:val="FootnoteReference"/>
          <w:rFonts w:ascii="Arial" w:hAnsi="Arial" w:cs="Arial"/>
          <w:sz w:val="20"/>
          <w:szCs w:val="20"/>
        </w:rPr>
        <w:footnoteReference w:id="6"/>
      </w:r>
      <w:r w:rsidR="002659E6" w:rsidRPr="0002792B">
        <w:rPr>
          <w:rFonts w:ascii="Arial" w:hAnsi="Arial" w:cs="Arial"/>
          <w:sz w:val="20"/>
          <w:szCs w:val="20"/>
        </w:rPr>
        <w:t xml:space="preserve">. Sector priorities include creating a more conducive macro-environment to stimulate greater private sector investment in agriculture and a vision to transform agricultural extension and advisory services into a participatory, demand-responsive, market-oriented, knowledge/skills-based </w:t>
      </w:r>
      <w:r w:rsidR="002659E6">
        <w:rPr>
          <w:rFonts w:ascii="Arial" w:hAnsi="Arial" w:cs="Arial"/>
          <w:sz w:val="20"/>
          <w:szCs w:val="20"/>
        </w:rPr>
        <w:t xml:space="preserve">service </w:t>
      </w:r>
      <w:r w:rsidR="002659E6" w:rsidRPr="0002792B">
        <w:rPr>
          <w:rFonts w:ascii="Arial" w:hAnsi="Arial" w:cs="Arial"/>
          <w:sz w:val="20"/>
          <w:szCs w:val="20"/>
        </w:rPr>
        <w:t>with a strong ICT driven focus. Ambitious targets have been set to achieve a minimum ratio of 1 extension agent to 800 – 1000 farmer families.</w:t>
      </w:r>
      <w:r w:rsidR="001637FD">
        <w:rPr>
          <w:rFonts w:ascii="Arial" w:hAnsi="Arial" w:cs="Arial"/>
          <w:sz w:val="20"/>
          <w:szCs w:val="20"/>
        </w:rPr>
        <w:t xml:space="preserve"> </w:t>
      </w:r>
      <w:r w:rsidR="002659E6" w:rsidRPr="0002792B">
        <w:rPr>
          <w:rFonts w:ascii="Arial" w:hAnsi="Arial" w:cs="Arial"/>
          <w:sz w:val="20"/>
          <w:szCs w:val="20"/>
        </w:rPr>
        <w:t xml:space="preserve">Decentralization of </w:t>
      </w:r>
      <w:r w:rsidR="002659E6">
        <w:rPr>
          <w:rFonts w:ascii="Arial" w:hAnsi="Arial" w:cs="Arial"/>
          <w:sz w:val="20"/>
          <w:szCs w:val="20"/>
        </w:rPr>
        <w:t xml:space="preserve">the </w:t>
      </w:r>
      <w:r w:rsidR="002659E6" w:rsidRPr="0002792B">
        <w:rPr>
          <w:rFonts w:ascii="Arial" w:hAnsi="Arial" w:cs="Arial"/>
          <w:sz w:val="20"/>
          <w:szCs w:val="20"/>
        </w:rPr>
        <w:t xml:space="preserve">agricultural extension focal point to the state and local government level is a key feature of the policy reforms. </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Greater involvement and participation of youth in agriculture is high priority in Nigeria with a 2013 high-level launch of two large youth in agriculture initiatives. With these and many other supportive policy environment initiatives, the stage is set for information supply chain improvement initiatives that can support the governments’ sector </w:t>
      </w:r>
      <w:proofErr w:type="spellStart"/>
      <w:r w:rsidRPr="0002792B">
        <w:rPr>
          <w:rFonts w:ascii="Arial" w:hAnsi="Arial" w:cs="Arial"/>
          <w:sz w:val="20"/>
          <w:szCs w:val="20"/>
        </w:rPr>
        <w:t>goalsand</w:t>
      </w:r>
      <w:proofErr w:type="spellEnd"/>
      <w:r w:rsidRPr="0002792B">
        <w:rPr>
          <w:rFonts w:ascii="Arial" w:hAnsi="Arial" w:cs="Arial"/>
          <w:sz w:val="20"/>
          <w:szCs w:val="20"/>
        </w:rPr>
        <w:t xml:space="preserve"> ICT driven service that will provide for all the extension needs of all actors along the targeted commodity value chains. </w:t>
      </w:r>
    </w:p>
    <w:p w:rsidR="002659E6" w:rsidRPr="00AD6807" w:rsidRDefault="002659E6" w:rsidP="006D01EE">
      <w:pPr>
        <w:spacing w:after="0"/>
        <w:rPr>
          <w:rFonts w:ascii="Arial" w:hAnsi="Arial" w:cs="Arial"/>
          <w:b/>
          <w:color w:val="92D050"/>
          <w:sz w:val="24"/>
          <w:szCs w:val="24"/>
        </w:rPr>
      </w:pPr>
      <w:r w:rsidRPr="00D1631E">
        <w:rPr>
          <w:rFonts w:ascii="Arial" w:hAnsi="Arial" w:cs="Arial"/>
          <w:b/>
          <w:color w:val="92D050"/>
          <w:sz w:val="24"/>
          <w:szCs w:val="24"/>
        </w:rPr>
        <w:t>The</w:t>
      </w:r>
      <w:r w:rsidR="008D5224">
        <w:rPr>
          <w:rFonts w:ascii="Arial" w:hAnsi="Arial" w:cs="Arial"/>
          <w:b/>
          <w:color w:val="92D050"/>
          <w:sz w:val="24"/>
          <w:szCs w:val="24"/>
        </w:rPr>
        <w:t xml:space="preserve"> </w:t>
      </w:r>
      <w:r w:rsidRPr="00AD6807">
        <w:rPr>
          <w:rFonts w:ascii="Arial" w:hAnsi="Arial" w:cs="Arial"/>
          <w:b/>
          <w:color w:val="92D050"/>
          <w:sz w:val="24"/>
          <w:szCs w:val="24"/>
        </w:rPr>
        <w:t>importance of B&amp;MGF priority crops</w:t>
      </w:r>
    </w:p>
    <w:p w:rsidR="002659E6" w:rsidRPr="007328C8" w:rsidRDefault="002659E6" w:rsidP="006D01EE">
      <w:pPr>
        <w:spacing w:after="120" w:line="240" w:lineRule="auto"/>
        <w:rPr>
          <w:rFonts w:ascii="Arial" w:hAnsi="Arial" w:cs="Arial"/>
          <w:sz w:val="20"/>
          <w:szCs w:val="20"/>
        </w:rPr>
      </w:pPr>
      <w:r w:rsidRPr="007328C8">
        <w:rPr>
          <w:rFonts w:ascii="Arial" w:hAnsi="Arial" w:cs="Arial"/>
          <w:sz w:val="20"/>
          <w:szCs w:val="20"/>
        </w:rPr>
        <w:t>Nigeria enjoys a wide range of crop diversity. The top commodities by production value are shown in the table below. Seven of the top ten crops are BMGF priority crops for Africa</w:t>
      </w:r>
      <w:r w:rsidR="00537902">
        <w:rPr>
          <w:rFonts w:ascii="Arial" w:hAnsi="Arial" w:cs="Arial"/>
          <w:sz w:val="20"/>
          <w:szCs w:val="20"/>
        </w:rPr>
        <w:t xml:space="preserve"> (Table 1)</w:t>
      </w:r>
      <w:r w:rsidRPr="007328C8">
        <w:rPr>
          <w:rFonts w:ascii="Arial" w:hAnsi="Arial" w:cs="Arial"/>
          <w:sz w:val="20"/>
          <w:szCs w:val="20"/>
        </w:rPr>
        <w:t>. Other crops of importance in Nigeria include cocoa, bean</w:t>
      </w:r>
      <w:r w:rsidR="00537902">
        <w:rPr>
          <w:rFonts w:ascii="Arial" w:hAnsi="Arial" w:cs="Arial"/>
          <w:sz w:val="20"/>
          <w:szCs w:val="20"/>
        </w:rPr>
        <w:t>s</w:t>
      </w:r>
      <w:r w:rsidRPr="007328C8">
        <w:rPr>
          <w:rFonts w:ascii="Arial" w:hAnsi="Arial" w:cs="Arial"/>
          <w:sz w:val="20"/>
          <w:szCs w:val="20"/>
        </w:rPr>
        <w:t>, cowpea, soybean, pepper sesame, cotton and oil palm.</w:t>
      </w:r>
    </w:p>
    <w:p w:rsidR="001637FD" w:rsidRDefault="001637FD">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rsidR="002659E6" w:rsidRPr="0002792B" w:rsidRDefault="002659E6" w:rsidP="006D01EE">
      <w:pPr>
        <w:rPr>
          <w:rFonts w:ascii="Arial" w:hAnsi="Arial" w:cs="Arial"/>
          <w:sz w:val="20"/>
          <w:szCs w:val="20"/>
        </w:rPr>
      </w:pPr>
      <w:r w:rsidRPr="0002792B">
        <w:rPr>
          <w:rFonts w:ascii="Arial" w:eastAsia="Times New Roman" w:hAnsi="Arial" w:cs="Arial"/>
          <w:b/>
          <w:sz w:val="20"/>
          <w:szCs w:val="20"/>
          <w:lang w:eastAsia="en-GB"/>
        </w:rPr>
        <w:lastRenderedPageBreak/>
        <w:t xml:space="preserve">Table 1: Top 10 agricultural commodities by value, Nigeria, 2012 </w:t>
      </w:r>
      <w:r w:rsidRPr="0002792B">
        <w:rPr>
          <w:rStyle w:val="FootnoteReference"/>
          <w:rFonts w:ascii="Arial" w:eastAsia="Times New Roman" w:hAnsi="Arial" w:cs="Arial"/>
          <w:b/>
          <w:bCs/>
          <w:sz w:val="20"/>
          <w:szCs w:val="20"/>
        </w:rPr>
        <w:footnoteReference w:id="7"/>
      </w:r>
    </w:p>
    <w:tbl>
      <w:tblPr>
        <w:tblStyle w:val="TableGrid"/>
        <w:tblW w:w="0" w:type="auto"/>
        <w:jc w:val="center"/>
        <w:tblLook w:val="04A0" w:firstRow="1" w:lastRow="0" w:firstColumn="1" w:lastColumn="0" w:noHBand="0" w:noVBand="1"/>
      </w:tblPr>
      <w:tblGrid>
        <w:gridCol w:w="959"/>
        <w:gridCol w:w="3685"/>
        <w:gridCol w:w="1560"/>
      </w:tblGrid>
      <w:tr w:rsidR="002659E6" w:rsidRPr="008E6EA0" w:rsidTr="006D01EE">
        <w:trPr>
          <w:jc w:val="center"/>
        </w:trPr>
        <w:tc>
          <w:tcPr>
            <w:tcW w:w="959" w:type="dxa"/>
            <w:vAlign w:val="center"/>
          </w:tcPr>
          <w:p w:rsidR="002659E6" w:rsidRPr="00230FD7" w:rsidRDefault="002659E6" w:rsidP="006D01EE">
            <w:pPr>
              <w:rPr>
                <w:rFonts w:cs="Arial"/>
                <w:b/>
                <w:bCs/>
                <w:sz w:val="18"/>
                <w:szCs w:val="18"/>
              </w:rPr>
            </w:pPr>
            <w:r w:rsidRPr="00230FD7">
              <w:rPr>
                <w:rFonts w:cs="Arial"/>
                <w:b/>
                <w:bCs/>
                <w:sz w:val="18"/>
                <w:szCs w:val="18"/>
              </w:rPr>
              <w:t xml:space="preserve">Rank </w:t>
            </w:r>
          </w:p>
        </w:tc>
        <w:tc>
          <w:tcPr>
            <w:tcW w:w="3685" w:type="dxa"/>
            <w:vAlign w:val="center"/>
          </w:tcPr>
          <w:p w:rsidR="002659E6" w:rsidRPr="00230FD7" w:rsidRDefault="002659E6" w:rsidP="006D01EE">
            <w:pPr>
              <w:rPr>
                <w:rFonts w:cs="Arial"/>
                <w:b/>
                <w:bCs/>
                <w:sz w:val="18"/>
                <w:szCs w:val="18"/>
              </w:rPr>
            </w:pPr>
            <w:r w:rsidRPr="00230FD7">
              <w:rPr>
                <w:rFonts w:cs="Arial"/>
                <w:b/>
                <w:bCs/>
                <w:sz w:val="18"/>
                <w:szCs w:val="18"/>
              </w:rPr>
              <w:t>Commodity</w:t>
            </w:r>
          </w:p>
        </w:tc>
        <w:tc>
          <w:tcPr>
            <w:tcW w:w="1560" w:type="dxa"/>
            <w:vAlign w:val="center"/>
          </w:tcPr>
          <w:p w:rsidR="002659E6" w:rsidRDefault="002659E6" w:rsidP="006D01EE">
            <w:pPr>
              <w:rPr>
                <w:rFonts w:cs="Arial"/>
                <w:b/>
                <w:bCs/>
                <w:sz w:val="18"/>
                <w:szCs w:val="18"/>
              </w:rPr>
            </w:pPr>
            <w:r>
              <w:rPr>
                <w:rFonts w:cs="Arial"/>
                <w:b/>
                <w:bCs/>
                <w:sz w:val="18"/>
                <w:szCs w:val="18"/>
              </w:rPr>
              <w:t xml:space="preserve">International $ </w:t>
            </w:r>
          </w:p>
          <w:p w:rsidR="002659E6" w:rsidRPr="00230FD7" w:rsidRDefault="002659E6" w:rsidP="006D01EE">
            <w:pPr>
              <w:rPr>
                <w:rFonts w:cs="Arial"/>
                <w:b/>
                <w:bCs/>
                <w:sz w:val="18"/>
                <w:szCs w:val="18"/>
              </w:rPr>
            </w:pPr>
            <w:r>
              <w:rPr>
                <w:rFonts w:cs="Arial"/>
                <w:b/>
                <w:bCs/>
                <w:sz w:val="18"/>
                <w:szCs w:val="18"/>
              </w:rPr>
              <w:t>millions</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1</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Yams</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7753</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2</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Cassava</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5641</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3</w:t>
            </w:r>
          </w:p>
        </w:tc>
        <w:tc>
          <w:tcPr>
            <w:tcW w:w="3685" w:type="dxa"/>
            <w:vAlign w:val="center"/>
          </w:tcPr>
          <w:p w:rsidR="002659E6" w:rsidRPr="00230FD7" w:rsidRDefault="002659E6" w:rsidP="006D01EE">
            <w:pPr>
              <w:spacing w:line="480" w:lineRule="auto"/>
              <w:rPr>
                <w:rFonts w:cs="Arial"/>
                <w:sz w:val="18"/>
                <w:szCs w:val="18"/>
              </w:rPr>
            </w:pPr>
            <w:r w:rsidRPr="00230FD7">
              <w:rPr>
                <w:rFonts w:cs="Arial"/>
                <w:sz w:val="18"/>
                <w:szCs w:val="18"/>
              </w:rPr>
              <w:t>Fruit, citrus not elsewhere specified</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1763</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4</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Rice, paddy</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1309</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5</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Groundnuts, with shell</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1308</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6</w:t>
            </w:r>
          </w:p>
        </w:tc>
        <w:tc>
          <w:tcPr>
            <w:tcW w:w="3685" w:type="dxa"/>
            <w:vAlign w:val="center"/>
          </w:tcPr>
          <w:p w:rsidR="002659E6" w:rsidRPr="00230FD7" w:rsidRDefault="002659E6" w:rsidP="006D01EE">
            <w:pPr>
              <w:spacing w:line="480" w:lineRule="auto"/>
              <w:rPr>
                <w:rFonts w:cs="Arial"/>
                <w:sz w:val="18"/>
                <w:szCs w:val="18"/>
              </w:rPr>
            </w:pPr>
            <w:r w:rsidRPr="00230FD7">
              <w:rPr>
                <w:rFonts w:cs="Arial"/>
                <w:sz w:val="18"/>
                <w:szCs w:val="18"/>
              </w:rPr>
              <w:t>Vegetables, fresh not elsewhere specified</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1168</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7</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Maize</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1048</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8</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Sorghum</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991</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9</w:t>
            </w:r>
          </w:p>
        </w:tc>
        <w:tc>
          <w:tcPr>
            <w:tcW w:w="3685" w:type="dxa"/>
            <w:vAlign w:val="center"/>
          </w:tcPr>
          <w:p w:rsidR="002659E6" w:rsidRPr="00230FD7" w:rsidRDefault="002659E6" w:rsidP="006D01EE">
            <w:pPr>
              <w:spacing w:line="480" w:lineRule="auto"/>
              <w:rPr>
                <w:rFonts w:cs="Arial"/>
                <w:sz w:val="18"/>
                <w:szCs w:val="18"/>
              </w:rPr>
            </w:pPr>
            <w:r w:rsidRPr="00230FD7">
              <w:rPr>
                <w:rFonts w:cs="Arial"/>
                <w:sz w:val="18"/>
                <w:szCs w:val="18"/>
              </w:rPr>
              <w:t>Meat indigenous, cattle</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877</w:t>
            </w:r>
          </w:p>
        </w:tc>
      </w:tr>
      <w:tr w:rsidR="002659E6" w:rsidRPr="008E6EA0" w:rsidTr="006D01EE">
        <w:trPr>
          <w:jc w:val="center"/>
        </w:trPr>
        <w:tc>
          <w:tcPr>
            <w:tcW w:w="959" w:type="dxa"/>
            <w:vAlign w:val="center"/>
          </w:tcPr>
          <w:p w:rsidR="002659E6" w:rsidRPr="00230FD7" w:rsidRDefault="002659E6" w:rsidP="006D01EE">
            <w:pPr>
              <w:spacing w:line="480" w:lineRule="auto"/>
              <w:rPr>
                <w:rFonts w:cs="Arial"/>
                <w:b/>
                <w:bCs/>
                <w:sz w:val="18"/>
                <w:szCs w:val="18"/>
              </w:rPr>
            </w:pPr>
            <w:r w:rsidRPr="00230FD7">
              <w:rPr>
                <w:rFonts w:cs="Arial"/>
                <w:b/>
                <w:bCs/>
                <w:sz w:val="18"/>
                <w:szCs w:val="18"/>
              </w:rPr>
              <w:t>10</w:t>
            </w:r>
          </w:p>
        </w:tc>
        <w:tc>
          <w:tcPr>
            <w:tcW w:w="3685" w:type="dxa"/>
            <w:vAlign w:val="center"/>
          </w:tcPr>
          <w:p w:rsidR="002659E6" w:rsidRPr="00230FD7" w:rsidRDefault="002659E6" w:rsidP="006D01EE">
            <w:pPr>
              <w:spacing w:line="480" w:lineRule="auto"/>
              <w:rPr>
                <w:rFonts w:cs="Arial"/>
                <w:b/>
                <w:sz w:val="18"/>
                <w:szCs w:val="18"/>
              </w:rPr>
            </w:pPr>
            <w:r w:rsidRPr="00230FD7">
              <w:rPr>
                <w:rFonts w:cs="Arial"/>
                <w:b/>
                <w:sz w:val="18"/>
                <w:szCs w:val="18"/>
              </w:rPr>
              <w:t>Millet</w:t>
            </w:r>
          </w:p>
        </w:tc>
        <w:tc>
          <w:tcPr>
            <w:tcW w:w="1560" w:type="dxa"/>
            <w:vAlign w:val="center"/>
          </w:tcPr>
          <w:p w:rsidR="002659E6" w:rsidRPr="00230FD7" w:rsidRDefault="002659E6" w:rsidP="006D01EE">
            <w:pPr>
              <w:spacing w:line="480" w:lineRule="auto"/>
              <w:rPr>
                <w:rFonts w:cs="Arial"/>
                <w:sz w:val="18"/>
                <w:szCs w:val="18"/>
              </w:rPr>
            </w:pPr>
            <w:r w:rsidRPr="00230FD7">
              <w:rPr>
                <w:rFonts w:cs="Arial"/>
                <w:sz w:val="18"/>
                <w:szCs w:val="18"/>
              </w:rPr>
              <w:t>850</w:t>
            </w:r>
          </w:p>
        </w:tc>
      </w:tr>
    </w:tbl>
    <w:p w:rsidR="001637FD" w:rsidRPr="001637FD" w:rsidRDefault="001637FD" w:rsidP="001637FD">
      <w:pPr>
        <w:spacing w:before="120" w:after="120" w:line="240" w:lineRule="auto"/>
        <w:ind w:left="720" w:firstLine="720"/>
        <w:rPr>
          <w:rFonts w:ascii="Arial" w:hAnsi="Arial" w:cs="Arial"/>
          <w:sz w:val="16"/>
          <w:szCs w:val="16"/>
        </w:rPr>
      </w:pPr>
      <w:r w:rsidRPr="001637FD">
        <w:rPr>
          <w:rFonts w:ascii="Arial" w:hAnsi="Arial" w:cs="Arial"/>
          <w:sz w:val="16"/>
          <w:szCs w:val="16"/>
        </w:rPr>
        <w:t xml:space="preserve">Commodities in </w:t>
      </w:r>
      <w:r w:rsidRPr="001637FD">
        <w:rPr>
          <w:rFonts w:ascii="Arial" w:hAnsi="Arial" w:cs="Arial"/>
          <w:b/>
          <w:sz w:val="16"/>
          <w:szCs w:val="16"/>
        </w:rPr>
        <w:t>bold</w:t>
      </w:r>
      <w:r w:rsidRPr="001637FD">
        <w:rPr>
          <w:rFonts w:ascii="Arial" w:hAnsi="Arial" w:cs="Arial"/>
          <w:sz w:val="16"/>
          <w:szCs w:val="16"/>
        </w:rPr>
        <w:t xml:space="preserve"> are B&amp;MGF priority crops.</w:t>
      </w:r>
    </w:p>
    <w:p w:rsidR="002659E6" w:rsidRPr="0002792B" w:rsidRDefault="002659E6" w:rsidP="006D01EE">
      <w:pPr>
        <w:spacing w:before="120" w:after="120" w:line="240" w:lineRule="auto"/>
        <w:rPr>
          <w:rFonts w:ascii="Arial" w:hAnsi="Arial" w:cs="Arial"/>
          <w:sz w:val="20"/>
          <w:szCs w:val="20"/>
        </w:rPr>
      </w:pPr>
      <w:r w:rsidRPr="0002792B">
        <w:rPr>
          <w:rFonts w:ascii="Arial" w:hAnsi="Arial" w:cs="Arial"/>
          <w:sz w:val="20"/>
          <w:szCs w:val="20"/>
        </w:rPr>
        <w:t xml:space="preserve">In 2014, the Ministry of Agriculture in Nigeria re-prioritized rice production with the overall aim of turning Nigeria into a net exporter of rice within the lifespan of the current agriculture sector plan. Revised rice production targets are also supported by improvements use technologies such as promotion of urea deep placement in rice production and increasing irrigated rice land area. </w:t>
      </w:r>
    </w:p>
    <w:p w:rsidR="002659E6" w:rsidRPr="0002792B" w:rsidRDefault="002659E6" w:rsidP="006D01EE">
      <w:pPr>
        <w:spacing w:before="120" w:after="120" w:line="240" w:lineRule="auto"/>
        <w:rPr>
          <w:rFonts w:ascii="Arial" w:hAnsi="Arial" w:cs="Arial"/>
          <w:sz w:val="20"/>
          <w:szCs w:val="20"/>
        </w:rPr>
      </w:pPr>
      <w:r w:rsidRPr="0002792B">
        <w:rPr>
          <w:rFonts w:ascii="Arial" w:hAnsi="Arial" w:cs="Arial"/>
          <w:sz w:val="20"/>
          <w:szCs w:val="20"/>
        </w:rPr>
        <w:t xml:space="preserve">Soybean production is on the increase with private sector actors promoting a scaled up approach to production. These efforts are augmented by research and manufacturing initiatives in rhizobium inoculants to support legume production by agencies like IITA. </w:t>
      </w:r>
    </w:p>
    <w:p w:rsidR="002659E6" w:rsidRDefault="002659E6" w:rsidP="006D01EE">
      <w:pPr>
        <w:spacing w:before="120" w:after="120" w:line="240" w:lineRule="auto"/>
        <w:rPr>
          <w:rFonts w:ascii="Arial" w:hAnsi="Arial" w:cs="Arial"/>
          <w:sz w:val="20"/>
          <w:szCs w:val="20"/>
        </w:rPr>
      </w:pPr>
      <w:r w:rsidRPr="0002792B">
        <w:rPr>
          <w:rFonts w:ascii="Arial" w:hAnsi="Arial" w:cs="Arial"/>
          <w:sz w:val="20"/>
          <w:szCs w:val="20"/>
        </w:rPr>
        <w:t>Sorghum and millet production is also a key aspect with fertilizer use patterns indicating more farmers are investing in improved agronomic practices in the cultivation of these crops. Sorghum for example accounted for 21% share of fertilizer while millet accounted for 11%. Maize accounted for 18% of fertilizers application. Legumes such as cowpea and bean continue to occupy an important part of the dietary systems in Nigeria, accounting for 14% of fertilizer usage figures in 2010</w:t>
      </w:r>
      <w:r w:rsidRPr="0002792B">
        <w:rPr>
          <w:rStyle w:val="FootnoteReference"/>
          <w:rFonts w:ascii="Arial" w:hAnsi="Arial" w:cs="Arial"/>
          <w:sz w:val="20"/>
          <w:szCs w:val="20"/>
        </w:rPr>
        <w:footnoteReference w:id="8"/>
      </w:r>
      <w:r w:rsidRPr="0002792B">
        <w:rPr>
          <w:rFonts w:ascii="Arial" w:hAnsi="Arial" w:cs="Arial"/>
          <w:sz w:val="20"/>
          <w:szCs w:val="20"/>
        </w:rPr>
        <w:t>.</w:t>
      </w:r>
    </w:p>
    <w:p w:rsidR="002659E6" w:rsidRDefault="002659E6" w:rsidP="001637FD">
      <w:pPr>
        <w:spacing w:before="240" w:after="0" w:line="240" w:lineRule="auto"/>
        <w:rPr>
          <w:rFonts w:ascii="Arial" w:hAnsi="Arial" w:cs="Arial"/>
          <w:b/>
          <w:color w:val="92D050"/>
          <w:sz w:val="24"/>
          <w:szCs w:val="24"/>
        </w:rPr>
      </w:pPr>
      <w:r w:rsidRPr="00B56DD9">
        <w:rPr>
          <w:rFonts w:ascii="Arial" w:hAnsi="Arial" w:cs="Arial"/>
          <w:b/>
          <w:color w:val="92D050"/>
          <w:sz w:val="24"/>
          <w:szCs w:val="24"/>
        </w:rPr>
        <w:t>ISFM relevant policies</w:t>
      </w:r>
    </w:p>
    <w:p w:rsidR="00E61AF1" w:rsidRDefault="00E61AF1" w:rsidP="006D01EE">
      <w:pPr>
        <w:spacing w:after="0" w:line="240" w:lineRule="auto"/>
        <w:rPr>
          <w:rFonts w:ascii="Arial" w:hAnsi="Arial" w:cs="Arial"/>
          <w:b/>
          <w:color w:val="92D050"/>
          <w:sz w:val="24"/>
          <w:szCs w:val="24"/>
        </w:rPr>
      </w:pPr>
    </w:p>
    <w:p w:rsidR="006D01EE" w:rsidRDefault="002659E6" w:rsidP="001637FD">
      <w:pPr>
        <w:pStyle w:val="ListParagraph"/>
        <w:spacing w:after="120" w:line="240" w:lineRule="auto"/>
        <w:ind w:left="0"/>
        <w:contextualSpacing w:val="0"/>
        <w:rPr>
          <w:rFonts w:ascii="Arial" w:hAnsi="Arial" w:cs="Arial"/>
          <w:sz w:val="20"/>
          <w:szCs w:val="20"/>
        </w:rPr>
      </w:pPr>
      <w:r w:rsidRPr="006D01EE">
        <w:rPr>
          <w:rFonts w:ascii="Arial" w:hAnsi="Arial" w:cs="Arial"/>
          <w:sz w:val="20"/>
          <w:szCs w:val="20"/>
        </w:rPr>
        <w:t>Nigeria hosted the 2006 Africa Union Special Summit of the Heads of State and Government in Abuja.  The Summit adopted the “Abuja Declaration on Fertilizer for the African Green Revolution”, which resolved to increase fertilizer use from 8kg/ha to 50kg/ha o</w:t>
      </w:r>
      <w:r w:rsidR="006D01EE">
        <w:rPr>
          <w:rFonts w:ascii="Arial" w:hAnsi="Arial" w:cs="Arial"/>
          <w:sz w:val="20"/>
          <w:szCs w:val="20"/>
        </w:rPr>
        <w:t xml:space="preserve">f nutrients by 2015.  </w:t>
      </w:r>
    </w:p>
    <w:p w:rsidR="002659E6" w:rsidRPr="006D01EE" w:rsidRDefault="006D01EE" w:rsidP="001637FD">
      <w:pPr>
        <w:pStyle w:val="ListParagraph"/>
        <w:spacing w:after="120" w:line="240" w:lineRule="auto"/>
        <w:ind w:left="0"/>
        <w:contextualSpacing w:val="0"/>
        <w:rPr>
          <w:rFonts w:ascii="Arial" w:hAnsi="Arial" w:cs="Arial"/>
          <w:sz w:val="20"/>
          <w:szCs w:val="20"/>
        </w:rPr>
      </w:pPr>
      <w:r>
        <w:rPr>
          <w:rFonts w:ascii="Arial" w:hAnsi="Arial" w:cs="Arial"/>
          <w:sz w:val="20"/>
          <w:szCs w:val="20"/>
        </w:rPr>
        <w:t>A</w:t>
      </w:r>
      <w:r w:rsidR="002659E6" w:rsidRPr="006D01EE">
        <w:rPr>
          <w:rFonts w:ascii="Arial" w:hAnsi="Arial" w:cs="Arial"/>
          <w:sz w:val="20"/>
          <w:szCs w:val="20"/>
        </w:rPr>
        <w:t>vailable data shows that Nigeria did not reach 10kg/ha in any year from 2006 to 2014, a level far be</w:t>
      </w:r>
      <w:r>
        <w:rPr>
          <w:rFonts w:ascii="Arial" w:hAnsi="Arial" w:cs="Arial"/>
          <w:sz w:val="20"/>
          <w:szCs w:val="20"/>
        </w:rPr>
        <w:t xml:space="preserve">low the continental benchmark. </w:t>
      </w:r>
      <w:r w:rsidR="002659E6" w:rsidRPr="006D01EE">
        <w:rPr>
          <w:rFonts w:ascii="Arial" w:hAnsi="Arial" w:cs="Arial"/>
          <w:sz w:val="20"/>
          <w:szCs w:val="20"/>
        </w:rPr>
        <w:t>As at 2011, the African continent accounted for 18% of the world’s cultivated land area, but only 3% of its fertilizer consumption.</w:t>
      </w:r>
      <w:r w:rsidR="002659E6" w:rsidRPr="006D01EE">
        <w:rPr>
          <w:rStyle w:val="FootnoteReference"/>
          <w:rFonts w:ascii="Arial" w:hAnsi="Arial" w:cs="Arial"/>
          <w:sz w:val="20"/>
          <w:szCs w:val="20"/>
        </w:rPr>
        <w:footnoteReference w:id="9"/>
      </w:r>
    </w:p>
    <w:p w:rsidR="009477D5" w:rsidRDefault="009477D5" w:rsidP="001637FD">
      <w:pPr>
        <w:pStyle w:val="ListParagraph"/>
        <w:spacing w:after="120" w:line="240" w:lineRule="auto"/>
        <w:ind w:left="0"/>
        <w:contextualSpacing w:val="0"/>
        <w:rPr>
          <w:rFonts w:ascii="Arial" w:hAnsi="Arial" w:cs="Arial"/>
          <w:sz w:val="20"/>
          <w:szCs w:val="20"/>
        </w:rPr>
      </w:pPr>
      <w:r w:rsidRPr="00DD118F">
        <w:rPr>
          <w:rFonts w:ascii="Arial" w:hAnsi="Arial" w:cs="Arial"/>
          <w:sz w:val="20"/>
          <w:szCs w:val="20"/>
        </w:rPr>
        <w:t>One significant</w:t>
      </w:r>
      <w:r w:rsidRPr="0002792B">
        <w:rPr>
          <w:rFonts w:ascii="Arial" w:hAnsi="Arial" w:cs="Arial"/>
          <w:sz w:val="20"/>
          <w:szCs w:val="20"/>
        </w:rPr>
        <w:t xml:space="preserve"> policy interventions in the agricultural sector in the recent past include the fertilizer subsidy scheme that has been in place since 2010. Piloted in Kano and </w:t>
      </w:r>
      <w:proofErr w:type="spellStart"/>
      <w:r w:rsidRPr="0002792B">
        <w:rPr>
          <w:rFonts w:ascii="Arial" w:hAnsi="Arial" w:cs="Arial"/>
          <w:sz w:val="20"/>
          <w:szCs w:val="20"/>
        </w:rPr>
        <w:t>Taraba</w:t>
      </w:r>
      <w:proofErr w:type="spellEnd"/>
      <w:r w:rsidRPr="0002792B">
        <w:rPr>
          <w:rFonts w:ascii="Arial" w:hAnsi="Arial" w:cs="Arial"/>
          <w:sz w:val="20"/>
          <w:szCs w:val="20"/>
        </w:rPr>
        <w:t xml:space="preserve"> states using the voucher system, the scheme aimed to subsidize 50% to 60% of 150</w:t>
      </w:r>
      <w:r w:rsidR="001637FD">
        <w:rPr>
          <w:rFonts w:ascii="Arial" w:hAnsi="Arial" w:cs="Arial"/>
          <w:sz w:val="20"/>
          <w:szCs w:val="20"/>
        </w:rPr>
        <w:t xml:space="preserve"> </w:t>
      </w:r>
      <w:r w:rsidRPr="0002792B">
        <w:rPr>
          <w:rFonts w:ascii="Arial" w:hAnsi="Arial" w:cs="Arial"/>
          <w:sz w:val="20"/>
          <w:szCs w:val="20"/>
        </w:rPr>
        <w:t>kg of f</w:t>
      </w:r>
      <w:r w:rsidR="001637FD">
        <w:rPr>
          <w:rFonts w:ascii="Arial" w:hAnsi="Arial" w:cs="Arial"/>
          <w:sz w:val="20"/>
          <w:szCs w:val="20"/>
        </w:rPr>
        <w:t>ertilizer per farming household</w:t>
      </w:r>
      <w:r w:rsidRPr="0002792B">
        <w:rPr>
          <w:rFonts w:ascii="Arial" w:hAnsi="Arial" w:cs="Arial"/>
          <w:sz w:val="20"/>
          <w:szCs w:val="20"/>
        </w:rPr>
        <w:t xml:space="preserve">. </w:t>
      </w:r>
      <w:r w:rsidRPr="0002792B">
        <w:rPr>
          <w:rFonts w:ascii="Arial" w:hAnsi="Arial" w:cs="Arial"/>
          <w:sz w:val="20"/>
          <w:szCs w:val="20"/>
        </w:rPr>
        <w:lastRenderedPageBreak/>
        <w:t>Problems associated with the subsidy scheme included poor quality, lack of timeliness and crowding out of the private sector</w:t>
      </w:r>
      <w:r w:rsidRPr="0002792B">
        <w:rPr>
          <w:rFonts w:ascii="Arial" w:hAnsi="Arial" w:cs="Arial"/>
          <w:sz w:val="20"/>
          <w:szCs w:val="20"/>
          <w:vertAlign w:val="superscript"/>
        </w:rPr>
        <w:t>3</w:t>
      </w:r>
      <w:r w:rsidR="001637FD">
        <w:rPr>
          <w:rFonts w:ascii="Arial" w:hAnsi="Arial" w:cs="Arial"/>
          <w:sz w:val="20"/>
          <w:szCs w:val="20"/>
          <w:vertAlign w:val="superscript"/>
        </w:rPr>
        <w:t>,</w:t>
      </w:r>
      <w:r w:rsidRPr="0002792B">
        <w:rPr>
          <w:rStyle w:val="FootnoteReference"/>
          <w:rFonts w:ascii="Arial" w:hAnsi="Arial" w:cs="Arial"/>
          <w:sz w:val="20"/>
          <w:szCs w:val="20"/>
        </w:rPr>
        <w:footnoteReference w:id="10"/>
      </w:r>
      <w:r w:rsidRPr="0002792B">
        <w:rPr>
          <w:rFonts w:ascii="Arial" w:hAnsi="Arial" w:cs="Arial"/>
          <w:sz w:val="20"/>
          <w:szCs w:val="20"/>
        </w:rPr>
        <w:t>.</w:t>
      </w:r>
    </w:p>
    <w:p w:rsidR="009477D5" w:rsidRPr="0002792B" w:rsidRDefault="009477D5" w:rsidP="009477D5">
      <w:pPr>
        <w:spacing w:after="120" w:line="240" w:lineRule="auto"/>
        <w:rPr>
          <w:rFonts w:ascii="Arial" w:hAnsi="Arial" w:cs="Arial"/>
          <w:sz w:val="20"/>
          <w:szCs w:val="20"/>
          <w:lang w:val="en-GB"/>
        </w:rPr>
      </w:pPr>
      <w:r w:rsidRPr="0002792B">
        <w:rPr>
          <w:rFonts w:ascii="Arial" w:hAnsi="Arial" w:cs="Arial"/>
          <w:sz w:val="20"/>
          <w:szCs w:val="20"/>
          <w:lang w:val="en-GB"/>
        </w:rPr>
        <w:t>Under the Agricultural Transformation Agenda (ATA), the government of Nigeria is implementing a new fertilizer program in which the government will withdraw from fertilizer marketing and distribution to promote the development of the private sector to take on these functions</w:t>
      </w:r>
      <w:r w:rsidRPr="0002792B">
        <w:rPr>
          <w:rFonts w:ascii="Arial" w:hAnsi="Arial" w:cs="Arial"/>
          <w:sz w:val="20"/>
          <w:szCs w:val="20"/>
          <w:vertAlign w:val="superscript"/>
          <w:lang w:val="en-GB"/>
        </w:rPr>
        <w:t>3</w:t>
      </w:r>
      <w:r w:rsidRPr="0002792B">
        <w:rPr>
          <w:rFonts w:ascii="Arial" w:hAnsi="Arial" w:cs="Arial"/>
          <w:sz w:val="20"/>
          <w:szCs w:val="20"/>
          <w:lang w:val="en-GB"/>
        </w:rPr>
        <w:t>.</w:t>
      </w:r>
    </w:p>
    <w:p w:rsidR="009477D5" w:rsidRPr="0002792B" w:rsidRDefault="009477D5" w:rsidP="009477D5">
      <w:pPr>
        <w:spacing w:after="120" w:line="240" w:lineRule="auto"/>
        <w:rPr>
          <w:rFonts w:ascii="Arial" w:hAnsi="Arial" w:cs="Arial"/>
          <w:sz w:val="20"/>
          <w:szCs w:val="20"/>
          <w:lang w:val="en-GB"/>
        </w:rPr>
      </w:pPr>
      <w:r>
        <w:rPr>
          <w:rFonts w:ascii="Arial" w:hAnsi="Arial" w:cs="Arial"/>
          <w:sz w:val="20"/>
          <w:szCs w:val="20"/>
          <w:lang w:val="en-GB"/>
        </w:rPr>
        <w:t>B</w:t>
      </w:r>
      <w:r w:rsidRPr="0002792B">
        <w:rPr>
          <w:rFonts w:ascii="Arial" w:hAnsi="Arial" w:cs="Arial"/>
          <w:sz w:val="20"/>
          <w:szCs w:val="20"/>
          <w:lang w:val="en-GB"/>
        </w:rPr>
        <w:t>roader policy initiatives have involved new policies, institutions and financing structures to drive sector growth; deregulation</w:t>
      </w:r>
      <w:r>
        <w:rPr>
          <w:rFonts w:ascii="Arial" w:hAnsi="Arial" w:cs="Arial"/>
          <w:sz w:val="20"/>
          <w:szCs w:val="20"/>
          <w:lang w:val="en-GB"/>
        </w:rPr>
        <w:t xml:space="preserve"> of seed and fertilizer sectors;</w:t>
      </w:r>
      <w:r w:rsidRPr="0002792B">
        <w:rPr>
          <w:rFonts w:ascii="Arial" w:hAnsi="Arial" w:cs="Arial"/>
          <w:sz w:val="20"/>
          <w:szCs w:val="20"/>
          <w:lang w:val="en-GB"/>
        </w:rPr>
        <w:t xml:space="preserve"> marketing reforms to structure markets; innovative financing for agriculture and new agricultural investment framework.</w:t>
      </w:r>
      <w:r w:rsidRPr="0002792B">
        <w:rPr>
          <w:rStyle w:val="FootnoteReference"/>
          <w:rFonts w:ascii="Arial" w:hAnsi="Arial" w:cs="Arial"/>
          <w:sz w:val="20"/>
          <w:szCs w:val="20"/>
          <w:lang w:val="en-GB"/>
        </w:rPr>
        <w:footnoteReference w:id="11"/>
      </w:r>
      <w:r w:rsidRPr="0002792B">
        <w:rPr>
          <w:rFonts w:ascii="Arial" w:hAnsi="Arial" w:cs="Arial"/>
          <w:sz w:val="20"/>
          <w:szCs w:val="20"/>
          <w:lang w:val="en-GB"/>
        </w:rPr>
        <w:t xml:space="preserve"> This has included transforming the fertilizer subsidy scheme to work through the private sector.</w:t>
      </w:r>
    </w:p>
    <w:p w:rsidR="00E61AF1" w:rsidRDefault="002659E6" w:rsidP="006D01EE">
      <w:pPr>
        <w:pStyle w:val="ListParagraph"/>
        <w:spacing w:after="0" w:line="240" w:lineRule="auto"/>
        <w:ind w:left="0"/>
        <w:rPr>
          <w:rFonts w:ascii="Arial" w:hAnsi="Arial" w:cs="Arial"/>
          <w:sz w:val="20"/>
          <w:szCs w:val="20"/>
        </w:rPr>
      </w:pPr>
      <w:r w:rsidRPr="006D01EE">
        <w:rPr>
          <w:rFonts w:ascii="Arial" w:hAnsi="Arial" w:cs="Arial"/>
          <w:sz w:val="20"/>
          <w:szCs w:val="20"/>
        </w:rPr>
        <w:t xml:space="preserve">The Federal Fertilizer Department’s </w:t>
      </w:r>
      <w:r w:rsidR="008762E8">
        <w:rPr>
          <w:rFonts w:ascii="Arial" w:hAnsi="Arial" w:cs="Arial"/>
          <w:sz w:val="20"/>
          <w:szCs w:val="20"/>
        </w:rPr>
        <w:t xml:space="preserve">(FFD) </w:t>
      </w:r>
      <w:r w:rsidRPr="006D01EE">
        <w:rPr>
          <w:rFonts w:ascii="Arial" w:hAnsi="Arial" w:cs="Arial"/>
          <w:sz w:val="20"/>
          <w:szCs w:val="20"/>
        </w:rPr>
        <w:t xml:space="preserve">role in the fertilizer sector is vast and </w:t>
      </w:r>
      <w:r w:rsidR="008762E8">
        <w:rPr>
          <w:rFonts w:ascii="Arial" w:hAnsi="Arial" w:cs="Arial"/>
          <w:sz w:val="20"/>
          <w:szCs w:val="20"/>
        </w:rPr>
        <w:t>has</w:t>
      </w:r>
      <w:r w:rsidRPr="006D01EE">
        <w:rPr>
          <w:rFonts w:ascii="Arial" w:hAnsi="Arial" w:cs="Arial"/>
          <w:sz w:val="20"/>
          <w:szCs w:val="20"/>
        </w:rPr>
        <w:t xml:space="preserve"> far-reaching implications.  The Fertilizer Use and Growth Enhancement Su</w:t>
      </w:r>
      <w:r w:rsidR="008762E8">
        <w:rPr>
          <w:rFonts w:ascii="Arial" w:hAnsi="Arial" w:cs="Arial"/>
          <w:sz w:val="20"/>
          <w:szCs w:val="20"/>
        </w:rPr>
        <w:t>pport Division (FGESD) of the FF</w:t>
      </w:r>
      <w:r w:rsidRPr="006D01EE">
        <w:rPr>
          <w:rFonts w:ascii="Arial" w:hAnsi="Arial" w:cs="Arial"/>
          <w:sz w:val="20"/>
          <w:szCs w:val="20"/>
        </w:rPr>
        <w:t>D:</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advises the FMARD on the a</w:t>
      </w:r>
      <w:r w:rsidR="00E61AF1">
        <w:rPr>
          <w:rFonts w:ascii="Arial" w:hAnsi="Arial" w:cs="Arial"/>
          <w:sz w:val="20"/>
          <w:szCs w:val="20"/>
        </w:rPr>
        <w:t>ppropriate subsidy levels</w:t>
      </w:r>
    </w:p>
    <w:p w:rsidR="00E61AF1" w:rsidRDefault="007328C8" w:rsidP="00E61AF1">
      <w:pPr>
        <w:pStyle w:val="ListParagraph"/>
        <w:numPr>
          <w:ilvl w:val="0"/>
          <w:numId w:val="28"/>
        </w:numPr>
        <w:spacing w:after="0" w:line="240" w:lineRule="auto"/>
        <w:rPr>
          <w:rFonts w:ascii="Arial" w:hAnsi="Arial" w:cs="Arial"/>
          <w:sz w:val="20"/>
          <w:szCs w:val="20"/>
        </w:rPr>
      </w:pPr>
      <w:r>
        <w:rPr>
          <w:rFonts w:ascii="Arial" w:hAnsi="Arial" w:cs="Arial"/>
          <w:sz w:val="20"/>
          <w:szCs w:val="20"/>
        </w:rPr>
        <w:t>monitors and analyzes f</w:t>
      </w:r>
      <w:r w:rsidR="002659E6" w:rsidRPr="006D01EE">
        <w:rPr>
          <w:rFonts w:ascii="Arial" w:hAnsi="Arial" w:cs="Arial"/>
          <w:sz w:val="20"/>
          <w:szCs w:val="20"/>
        </w:rPr>
        <w:t>ertilizer market</w:t>
      </w:r>
      <w:r w:rsidR="00E61AF1">
        <w:rPr>
          <w:rFonts w:ascii="Arial" w:hAnsi="Arial" w:cs="Arial"/>
          <w:sz w:val="20"/>
          <w:szCs w:val="20"/>
        </w:rPr>
        <w:t xml:space="preserve"> dynamics and pricing levels</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advises on the appropriate timing and lev</w:t>
      </w:r>
      <w:r w:rsidR="00E61AF1">
        <w:rPr>
          <w:rFonts w:ascii="Arial" w:hAnsi="Arial" w:cs="Arial"/>
          <w:sz w:val="20"/>
          <w:szCs w:val="20"/>
        </w:rPr>
        <w:t>el of market intervention</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initiates the p</w:t>
      </w:r>
      <w:r w:rsidR="007328C8">
        <w:rPr>
          <w:rFonts w:ascii="Arial" w:hAnsi="Arial" w:cs="Arial"/>
          <w:sz w:val="20"/>
          <w:szCs w:val="20"/>
        </w:rPr>
        <w:t>rocess for the intervention of g</w:t>
      </w:r>
      <w:r w:rsidRPr="006D01EE">
        <w:rPr>
          <w:rFonts w:ascii="Arial" w:hAnsi="Arial" w:cs="Arial"/>
          <w:sz w:val="20"/>
          <w:szCs w:val="20"/>
        </w:rPr>
        <w:t xml:space="preserve">overnment for seasonal/annual supply of fertilizers to </w:t>
      </w:r>
      <w:r w:rsidR="00E61AF1">
        <w:rPr>
          <w:rFonts w:ascii="Arial" w:hAnsi="Arial" w:cs="Arial"/>
          <w:sz w:val="20"/>
          <w:szCs w:val="20"/>
        </w:rPr>
        <w:t>the farmers in the country</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liaises with the various State Government/FCT and other relevant stakeholders on the planning implementation of  Growth Enhanc</w:t>
      </w:r>
      <w:r w:rsidR="00E61AF1">
        <w:rPr>
          <w:rFonts w:ascii="Arial" w:hAnsi="Arial" w:cs="Arial"/>
          <w:sz w:val="20"/>
          <w:szCs w:val="20"/>
        </w:rPr>
        <w:t>ement Support (GES) Scheme</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administers  the GES scheme to all registered fa</w:t>
      </w:r>
      <w:r w:rsidR="00E61AF1">
        <w:rPr>
          <w:rFonts w:ascii="Arial" w:hAnsi="Arial" w:cs="Arial"/>
          <w:sz w:val="20"/>
          <w:szCs w:val="20"/>
        </w:rPr>
        <w:t>rmers across the country</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liaises with various fertilizer companies/plants/suppliers on issues of p</w:t>
      </w:r>
      <w:r w:rsidR="007328C8">
        <w:rPr>
          <w:rFonts w:ascii="Arial" w:hAnsi="Arial" w:cs="Arial"/>
          <w:sz w:val="20"/>
          <w:szCs w:val="20"/>
        </w:rPr>
        <w:t>roduction/supply/marketing and agro</w:t>
      </w:r>
      <w:r w:rsidR="003D6171">
        <w:rPr>
          <w:rFonts w:ascii="Arial" w:hAnsi="Arial" w:cs="Arial"/>
          <w:sz w:val="20"/>
          <w:szCs w:val="20"/>
        </w:rPr>
        <w:t>-</w:t>
      </w:r>
      <w:r w:rsidR="007328C8">
        <w:rPr>
          <w:rFonts w:ascii="Arial" w:hAnsi="Arial" w:cs="Arial"/>
          <w:sz w:val="20"/>
          <w:szCs w:val="20"/>
        </w:rPr>
        <w:t>d</w:t>
      </w:r>
      <w:r w:rsidR="003D6171">
        <w:rPr>
          <w:rFonts w:ascii="Arial" w:hAnsi="Arial" w:cs="Arial"/>
          <w:sz w:val="20"/>
          <w:szCs w:val="20"/>
        </w:rPr>
        <w:t>ealers</w:t>
      </w:r>
      <w:r w:rsidRPr="006D01EE">
        <w:rPr>
          <w:rFonts w:ascii="Arial" w:hAnsi="Arial" w:cs="Arial"/>
          <w:sz w:val="20"/>
          <w:szCs w:val="20"/>
        </w:rPr>
        <w:t xml:space="preserve"> network develop</w:t>
      </w:r>
      <w:r w:rsidR="00E61AF1">
        <w:rPr>
          <w:rFonts w:ascii="Arial" w:hAnsi="Arial" w:cs="Arial"/>
          <w:sz w:val="20"/>
          <w:szCs w:val="20"/>
        </w:rPr>
        <w:t>ment across the country</w:t>
      </w:r>
    </w:p>
    <w:p w:rsidR="00E61AF1" w:rsidRDefault="002659E6" w:rsidP="00E61AF1">
      <w:pPr>
        <w:pStyle w:val="ListParagraph"/>
        <w:numPr>
          <w:ilvl w:val="0"/>
          <w:numId w:val="28"/>
        </w:numPr>
        <w:spacing w:after="0" w:line="240" w:lineRule="auto"/>
        <w:rPr>
          <w:rFonts w:ascii="Arial" w:hAnsi="Arial" w:cs="Arial"/>
          <w:sz w:val="20"/>
          <w:szCs w:val="20"/>
        </w:rPr>
      </w:pPr>
      <w:r w:rsidRPr="006D01EE">
        <w:rPr>
          <w:rFonts w:ascii="Arial" w:hAnsi="Arial" w:cs="Arial"/>
          <w:sz w:val="20"/>
          <w:szCs w:val="20"/>
        </w:rPr>
        <w:t>liaises with security agencies on</w:t>
      </w:r>
      <w:r w:rsidR="00E61AF1">
        <w:rPr>
          <w:rFonts w:ascii="Arial" w:hAnsi="Arial" w:cs="Arial"/>
          <w:sz w:val="20"/>
          <w:szCs w:val="20"/>
        </w:rPr>
        <w:t xml:space="preserve"> fertilizer use generally</w:t>
      </w:r>
    </w:p>
    <w:p w:rsidR="00E61AF1" w:rsidRDefault="003D6171" w:rsidP="00E61AF1">
      <w:pPr>
        <w:pStyle w:val="ListParagraph"/>
        <w:numPr>
          <w:ilvl w:val="0"/>
          <w:numId w:val="28"/>
        </w:numPr>
        <w:spacing w:after="0" w:line="240" w:lineRule="auto"/>
        <w:rPr>
          <w:rFonts w:ascii="Arial" w:hAnsi="Arial" w:cs="Arial"/>
          <w:sz w:val="20"/>
          <w:szCs w:val="20"/>
        </w:rPr>
      </w:pPr>
      <w:r>
        <w:rPr>
          <w:rFonts w:ascii="Arial" w:hAnsi="Arial" w:cs="Arial"/>
          <w:sz w:val="20"/>
          <w:szCs w:val="20"/>
        </w:rPr>
        <w:t>monitor</w:t>
      </w:r>
      <w:r w:rsidR="002659E6" w:rsidRPr="006D01EE">
        <w:rPr>
          <w:rFonts w:ascii="Arial" w:hAnsi="Arial" w:cs="Arial"/>
          <w:sz w:val="20"/>
          <w:szCs w:val="20"/>
        </w:rPr>
        <w:t xml:space="preserve"> the imple</w:t>
      </w:r>
      <w:r w:rsidR="00E61AF1">
        <w:rPr>
          <w:rFonts w:ascii="Arial" w:hAnsi="Arial" w:cs="Arial"/>
          <w:sz w:val="20"/>
          <w:szCs w:val="20"/>
        </w:rPr>
        <w:t>mentation of the GES scheme</w:t>
      </w:r>
    </w:p>
    <w:p w:rsidR="00E61AF1" w:rsidRDefault="002659E6" w:rsidP="00E61AF1">
      <w:pPr>
        <w:pStyle w:val="ListParagraph"/>
        <w:numPr>
          <w:ilvl w:val="0"/>
          <w:numId w:val="28"/>
        </w:numPr>
        <w:spacing w:after="0" w:line="240" w:lineRule="auto"/>
        <w:rPr>
          <w:rFonts w:ascii="Arial" w:hAnsi="Arial" w:cs="Arial"/>
          <w:sz w:val="20"/>
          <w:szCs w:val="20"/>
        </w:rPr>
      </w:pPr>
      <w:proofErr w:type="gramStart"/>
      <w:r w:rsidRPr="006D01EE">
        <w:rPr>
          <w:rFonts w:ascii="Arial" w:hAnsi="Arial" w:cs="Arial"/>
          <w:sz w:val="20"/>
          <w:szCs w:val="20"/>
        </w:rPr>
        <w:t>ensures</w:t>
      </w:r>
      <w:proofErr w:type="gramEnd"/>
      <w:r w:rsidRPr="006D01EE">
        <w:rPr>
          <w:rFonts w:ascii="Arial" w:hAnsi="Arial" w:cs="Arial"/>
          <w:sz w:val="20"/>
          <w:szCs w:val="20"/>
        </w:rPr>
        <w:t xml:space="preserve"> timely delivery, distribution and recovery of proc</w:t>
      </w:r>
      <w:r w:rsidR="00E61AF1">
        <w:rPr>
          <w:rFonts w:ascii="Arial" w:hAnsi="Arial" w:cs="Arial"/>
          <w:sz w:val="20"/>
          <w:szCs w:val="20"/>
        </w:rPr>
        <w:t>eeds from the States/FCT, etc.</w:t>
      </w:r>
    </w:p>
    <w:p w:rsidR="003D6171" w:rsidRDefault="003D6171" w:rsidP="003D6171">
      <w:pPr>
        <w:pStyle w:val="ListParagraph"/>
        <w:numPr>
          <w:ilvl w:val="0"/>
          <w:numId w:val="28"/>
        </w:numPr>
        <w:spacing w:after="120" w:line="240" w:lineRule="auto"/>
        <w:rPr>
          <w:rFonts w:ascii="Arial" w:hAnsi="Arial" w:cs="Arial"/>
          <w:sz w:val="20"/>
          <w:szCs w:val="20"/>
        </w:rPr>
      </w:pPr>
      <w:proofErr w:type="gramStart"/>
      <w:r>
        <w:rPr>
          <w:rFonts w:ascii="Arial" w:hAnsi="Arial" w:cs="Arial"/>
          <w:sz w:val="20"/>
          <w:szCs w:val="20"/>
        </w:rPr>
        <w:t>liaises</w:t>
      </w:r>
      <w:proofErr w:type="gramEnd"/>
      <w:r>
        <w:rPr>
          <w:rFonts w:ascii="Arial" w:hAnsi="Arial" w:cs="Arial"/>
          <w:sz w:val="20"/>
          <w:szCs w:val="20"/>
        </w:rPr>
        <w:t xml:space="preserve"> wi</w:t>
      </w:r>
      <w:r w:rsidR="007328C8">
        <w:rPr>
          <w:rFonts w:ascii="Arial" w:hAnsi="Arial" w:cs="Arial"/>
          <w:sz w:val="20"/>
          <w:szCs w:val="20"/>
        </w:rPr>
        <w:t>th various value chain t</w:t>
      </w:r>
      <w:r w:rsidR="002659E6" w:rsidRPr="006D01EE">
        <w:rPr>
          <w:rFonts w:ascii="Arial" w:hAnsi="Arial" w:cs="Arial"/>
          <w:sz w:val="20"/>
          <w:szCs w:val="20"/>
        </w:rPr>
        <w:t>eams on the planning and implementation of GES nationwide.</w:t>
      </w:r>
      <w:r w:rsidR="002659E6" w:rsidRPr="006D01EE">
        <w:rPr>
          <w:rStyle w:val="FootnoteReference"/>
          <w:rFonts w:ascii="Arial" w:hAnsi="Arial" w:cs="Arial"/>
          <w:sz w:val="20"/>
          <w:szCs w:val="20"/>
        </w:rPr>
        <w:footnoteReference w:id="12"/>
      </w:r>
      <w:r w:rsidR="002659E6" w:rsidRPr="006D01EE">
        <w:rPr>
          <w:rFonts w:ascii="Arial" w:hAnsi="Arial" w:cs="Arial"/>
          <w:sz w:val="20"/>
          <w:szCs w:val="20"/>
        </w:rPr>
        <w:t xml:space="preserve">  </w:t>
      </w:r>
    </w:p>
    <w:p w:rsidR="002659E6" w:rsidRPr="003D6171" w:rsidRDefault="002659E6" w:rsidP="003D6171">
      <w:pPr>
        <w:spacing w:after="120" w:line="240" w:lineRule="auto"/>
        <w:rPr>
          <w:rFonts w:ascii="Arial" w:hAnsi="Arial" w:cs="Arial"/>
          <w:sz w:val="20"/>
          <w:szCs w:val="20"/>
        </w:rPr>
      </w:pPr>
      <w:r w:rsidRPr="003D6171">
        <w:rPr>
          <w:rFonts w:ascii="Arial" w:hAnsi="Arial" w:cs="Arial"/>
          <w:sz w:val="20"/>
          <w:szCs w:val="20"/>
        </w:rPr>
        <w:t>Critics point out that these powers reach deep into downstream operations that ought to be left to the private sector; there</w:t>
      </w:r>
      <w:r w:rsidR="008762E8">
        <w:rPr>
          <w:rFonts w:ascii="Arial" w:hAnsi="Arial" w:cs="Arial"/>
          <w:sz w:val="20"/>
          <w:szCs w:val="20"/>
        </w:rPr>
        <w:t>in</w:t>
      </w:r>
      <w:r w:rsidRPr="003D6171">
        <w:rPr>
          <w:rFonts w:ascii="Arial" w:hAnsi="Arial" w:cs="Arial"/>
          <w:sz w:val="20"/>
          <w:szCs w:val="20"/>
        </w:rPr>
        <w:t xml:space="preserve"> </w:t>
      </w:r>
      <w:proofErr w:type="gramStart"/>
      <w:r w:rsidRPr="003D6171">
        <w:rPr>
          <w:rFonts w:ascii="Arial" w:hAnsi="Arial" w:cs="Arial"/>
          <w:sz w:val="20"/>
          <w:szCs w:val="20"/>
        </w:rPr>
        <w:t>lies</w:t>
      </w:r>
      <w:proofErr w:type="gramEnd"/>
      <w:r w:rsidRPr="003D6171">
        <w:rPr>
          <w:rFonts w:ascii="Arial" w:hAnsi="Arial" w:cs="Arial"/>
          <w:sz w:val="20"/>
          <w:szCs w:val="20"/>
        </w:rPr>
        <w:t xml:space="preserve"> the problem.</w:t>
      </w:r>
    </w:p>
    <w:p w:rsidR="002659E6" w:rsidRPr="006D01EE" w:rsidRDefault="002659E6" w:rsidP="006D01EE">
      <w:pPr>
        <w:pStyle w:val="ListParagraph"/>
        <w:spacing w:after="0" w:line="240" w:lineRule="auto"/>
        <w:ind w:left="0"/>
        <w:rPr>
          <w:rFonts w:ascii="Arial" w:hAnsi="Arial" w:cs="Arial"/>
          <w:sz w:val="20"/>
          <w:szCs w:val="20"/>
        </w:rPr>
      </w:pPr>
      <w:r w:rsidRPr="006D01EE">
        <w:rPr>
          <w:rFonts w:ascii="Arial" w:hAnsi="Arial" w:cs="Arial"/>
          <w:sz w:val="20"/>
          <w:szCs w:val="20"/>
        </w:rPr>
        <w:t>Acc</w:t>
      </w:r>
      <w:r w:rsidR="008762E8">
        <w:rPr>
          <w:rFonts w:ascii="Arial" w:hAnsi="Arial" w:cs="Arial"/>
          <w:sz w:val="20"/>
          <w:szCs w:val="20"/>
        </w:rPr>
        <w:t>ording to the Director of the FF</w:t>
      </w:r>
      <w:r w:rsidRPr="006D01EE">
        <w:rPr>
          <w:rFonts w:ascii="Arial" w:hAnsi="Arial" w:cs="Arial"/>
          <w:sz w:val="20"/>
          <w:szCs w:val="20"/>
        </w:rPr>
        <w:t>D</w:t>
      </w:r>
      <w:r w:rsidR="003D6171" w:rsidRPr="003D6171">
        <w:rPr>
          <w:rFonts w:ascii="Arial" w:hAnsi="Arial" w:cs="Arial"/>
          <w:sz w:val="20"/>
          <w:szCs w:val="20"/>
          <w:vertAlign w:val="superscript"/>
        </w:rPr>
        <w:t>12</w:t>
      </w:r>
      <w:r w:rsidRPr="006D01EE">
        <w:rPr>
          <w:rFonts w:ascii="Arial" w:hAnsi="Arial" w:cs="Arial"/>
          <w:sz w:val="20"/>
          <w:szCs w:val="20"/>
        </w:rPr>
        <w:t>, the ongoing reforms in the Nigeria fertilizer sector include:</w:t>
      </w:r>
    </w:p>
    <w:p w:rsidR="002659E6"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Government withdrawal from direct procurement and distri</w:t>
      </w:r>
      <w:r w:rsidR="003D6171">
        <w:rPr>
          <w:rFonts w:ascii="Arial" w:hAnsi="Arial" w:cs="Arial"/>
          <w:sz w:val="20"/>
          <w:szCs w:val="20"/>
        </w:rPr>
        <w:t>bution of fertilizer to farmers</w:t>
      </w:r>
    </w:p>
    <w:p w:rsidR="002659E6"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Creation of new subsidy delivery s</w:t>
      </w:r>
      <w:r w:rsidR="003D6171">
        <w:rPr>
          <w:rFonts w:ascii="Arial" w:hAnsi="Arial" w:cs="Arial"/>
          <w:sz w:val="20"/>
          <w:szCs w:val="20"/>
        </w:rPr>
        <w:t>ystem using electronic platform</w:t>
      </w:r>
    </w:p>
    <w:p w:rsidR="002659E6"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Agro dealer development and empowerment for enha</w:t>
      </w:r>
      <w:r w:rsidR="003D6171">
        <w:rPr>
          <w:rFonts w:ascii="Arial" w:hAnsi="Arial" w:cs="Arial"/>
          <w:sz w:val="20"/>
          <w:szCs w:val="20"/>
        </w:rPr>
        <w:t>nced performance and efficiency</w:t>
      </w:r>
    </w:p>
    <w:p w:rsidR="002659E6"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A target of 1.5 million metric tons of fertilizer (750</w:t>
      </w:r>
      <w:r w:rsidR="00E61AF1">
        <w:rPr>
          <w:rFonts w:ascii="Arial" w:hAnsi="Arial" w:cs="Arial"/>
          <w:sz w:val="20"/>
          <w:szCs w:val="20"/>
        </w:rPr>
        <w:t xml:space="preserve">,000 </w:t>
      </w:r>
      <w:proofErr w:type="spellStart"/>
      <w:r w:rsidR="00E61AF1">
        <w:rPr>
          <w:rFonts w:ascii="Arial" w:hAnsi="Arial" w:cs="Arial"/>
          <w:sz w:val="20"/>
          <w:szCs w:val="20"/>
        </w:rPr>
        <w:t>tonnes</w:t>
      </w:r>
      <w:proofErr w:type="spellEnd"/>
      <w:r w:rsidR="003D6171">
        <w:rPr>
          <w:rFonts w:ascii="Arial" w:hAnsi="Arial" w:cs="Arial"/>
          <w:sz w:val="20"/>
          <w:szCs w:val="20"/>
        </w:rPr>
        <w:t xml:space="preserve"> each of NPK and u</w:t>
      </w:r>
      <w:r w:rsidR="006D01EE" w:rsidRPr="006D01EE">
        <w:rPr>
          <w:rFonts w:ascii="Arial" w:hAnsi="Arial" w:cs="Arial"/>
          <w:sz w:val="20"/>
          <w:szCs w:val="20"/>
        </w:rPr>
        <w:t>rea) in 2014</w:t>
      </w:r>
    </w:p>
    <w:p w:rsidR="002659E6"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A plan to add 5 million new farmers every year until all</w:t>
      </w:r>
      <w:r w:rsidR="003D6171">
        <w:rPr>
          <w:rFonts w:ascii="Arial" w:hAnsi="Arial" w:cs="Arial"/>
          <w:sz w:val="20"/>
          <w:szCs w:val="20"/>
        </w:rPr>
        <w:t xml:space="preserve"> farmers are covered nationwide</w:t>
      </w:r>
    </w:p>
    <w:p w:rsidR="002659E6"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Effort to make GES fully private-sector driven, with fertilizer companies and agro input deale</w:t>
      </w:r>
      <w:r w:rsidR="006D01EE" w:rsidRPr="006D01EE">
        <w:rPr>
          <w:rFonts w:ascii="Arial" w:hAnsi="Arial" w:cs="Arial"/>
          <w:sz w:val="20"/>
          <w:szCs w:val="20"/>
        </w:rPr>
        <w:t>rs the main implementers</w:t>
      </w:r>
    </w:p>
    <w:p w:rsidR="006D01EE" w:rsidRPr="006D01EE" w:rsidRDefault="002659E6" w:rsidP="006D01EE">
      <w:pPr>
        <w:pStyle w:val="ListParagraph"/>
        <w:numPr>
          <w:ilvl w:val="0"/>
          <w:numId w:val="27"/>
        </w:numPr>
        <w:spacing w:after="0" w:line="240" w:lineRule="auto"/>
        <w:rPr>
          <w:rFonts w:ascii="Arial" w:hAnsi="Arial" w:cs="Arial"/>
          <w:sz w:val="20"/>
          <w:szCs w:val="20"/>
        </w:rPr>
      </w:pPr>
      <w:r w:rsidRPr="006D01EE">
        <w:rPr>
          <w:rFonts w:ascii="Arial" w:hAnsi="Arial" w:cs="Arial"/>
          <w:sz w:val="20"/>
          <w:szCs w:val="20"/>
        </w:rPr>
        <w:t>Make GES to contribute to add</w:t>
      </w:r>
      <w:r w:rsidR="00E61AF1">
        <w:rPr>
          <w:rFonts w:ascii="Arial" w:hAnsi="Arial" w:cs="Arial"/>
          <w:sz w:val="20"/>
          <w:szCs w:val="20"/>
        </w:rPr>
        <w:t xml:space="preserve">itional consumption of 500,000 </w:t>
      </w:r>
      <w:proofErr w:type="spellStart"/>
      <w:r w:rsidR="00E61AF1">
        <w:rPr>
          <w:rFonts w:ascii="Arial" w:hAnsi="Arial" w:cs="Arial"/>
          <w:sz w:val="20"/>
          <w:szCs w:val="20"/>
        </w:rPr>
        <w:t>tonnes</w:t>
      </w:r>
      <w:proofErr w:type="spellEnd"/>
      <w:r w:rsidRPr="006D01EE">
        <w:rPr>
          <w:rFonts w:ascii="Arial" w:hAnsi="Arial" w:cs="Arial"/>
          <w:sz w:val="20"/>
          <w:szCs w:val="20"/>
        </w:rPr>
        <w:t xml:space="preserve"> o</w:t>
      </w:r>
      <w:r w:rsidR="006D01EE" w:rsidRPr="006D01EE">
        <w:rPr>
          <w:rFonts w:ascii="Arial" w:hAnsi="Arial" w:cs="Arial"/>
          <w:sz w:val="20"/>
          <w:szCs w:val="20"/>
        </w:rPr>
        <w:t>f fertilizer yearly by 2015</w:t>
      </w:r>
    </w:p>
    <w:p w:rsidR="002659E6" w:rsidRPr="006D01EE" w:rsidRDefault="002659E6" w:rsidP="003D6171">
      <w:pPr>
        <w:pStyle w:val="ListParagraph"/>
        <w:numPr>
          <w:ilvl w:val="0"/>
          <w:numId w:val="27"/>
        </w:numPr>
        <w:spacing w:after="120" w:line="240" w:lineRule="auto"/>
        <w:ind w:left="714" w:hanging="357"/>
        <w:contextualSpacing w:val="0"/>
        <w:rPr>
          <w:rFonts w:ascii="Arial" w:hAnsi="Arial" w:cs="Arial"/>
          <w:sz w:val="20"/>
          <w:szCs w:val="20"/>
        </w:rPr>
      </w:pPr>
      <w:r w:rsidRPr="006D01EE">
        <w:rPr>
          <w:rFonts w:ascii="Arial" w:hAnsi="Arial" w:cs="Arial"/>
          <w:sz w:val="20"/>
          <w:szCs w:val="20"/>
        </w:rPr>
        <w:t>Improve farmers’ access to fertilizer, fertilizer use to achieve higher crop yields.</w:t>
      </w:r>
    </w:p>
    <w:p w:rsidR="002659E6" w:rsidRPr="00C90DB2" w:rsidRDefault="002659E6" w:rsidP="003D6171">
      <w:pPr>
        <w:pStyle w:val="ListParagraph"/>
        <w:spacing w:after="120" w:line="240" w:lineRule="auto"/>
        <w:ind w:left="0"/>
        <w:contextualSpacing w:val="0"/>
        <w:rPr>
          <w:rFonts w:ascii="Arial" w:hAnsi="Arial" w:cs="Arial"/>
          <w:sz w:val="20"/>
          <w:szCs w:val="20"/>
        </w:rPr>
      </w:pPr>
      <w:r w:rsidRPr="00C90DB2">
        <w:rPr>
          <w:rFonts w:ascii="Arial" w:hAnsi="Arial" w:cs="Arial"/>
          <w:sz w:val="20"/>
          <w:szCs w:val="20"/>
        </w:rPr>
        <w:t xml:space="preserve">There is a disproportionate policy emphasis on the procurement and distribution of fertilizers in Nigeria, while the broader issue of soil health is neglected. There is pervasive ignorance about soil health among farmers in all commodity subsectors. </w:t>
      </w:r>
      <w:r w:rsidR="00E61AF1" w:rsidRPr="00C90DB2">
        <w:rPr>
          <w:rFonts w:ascii="Arial" w:hAnsi="Arial" w:cs="Arial"/>
          <w:sz w:val="20"/>
          <w:szCs w:val="20"/>
        </w:rPr>
        <w:t>One wrong</w:t>
      </w:r>
      <w:r w:rsidRPr="00C90DB2">
        <w:rPr>
          <w:rFonts w:ascii="Arial" w:hAnsi="Arial" w:cs="Arial"/>
          <w:sz w:val="20"/>
          <w:szCs w:val="20"/>
        </w:rPr>
        <w:t xml:space="preserve"> perception</w:t>
      </w:r>
      <w:r w:rsidR="00E61AF1" w:rsidRPr="00C90DB2">
        <w:rPr>
          <w:rFonts w:ascii="Arial" w:hAnsi="Arial" w:cs="Arial"/>
          <w:sz w:val="20"/>
          <w:szCs w:val="20"/>
        </w:rPr>
        <w:t xml:space="preserve"> is</w:t>
      </w:r>
      <w:r w:rsidRPr="00C90DB2">
        <w:rPr>
          <w:rFonts w:ascii="Arial" w:hAnsi="Arial" w:cs="Arial"/>
          <w:sz w:val="20"/>
          <w:szCs w:val="20"/>
        </w:rPr>
        <w:t xml:space="preserve"> that, irrespective of the soil health conditions, all a farmer needs is to apply NPK 15:15:15 and the yield will increase. Furthermore, whatever the crop, be it cassava or yam or rice or sorghum or cowpea, or tree crops like cashew, cocoa or oil palm, the ultimate soil treatment is NPK 15:15:15. There is total neglect of concepts like composting for organic manure.</w:t>
      </w:r>
    </w:p>
    <w:p w:rsidR="002659E6" w:rsidRPr="0069286C" w:rsidRDefault="002659E6" w:rsidP="003D6171">
      <w:pPr>
        <w:pStyle w:val="ListParagraph"/>
        <w:tabs>
          <w:tab w:val="left" w:pos="8080"/>
        </w:tabs>
        <w:spacing w:after="120" w:line="240" w:lineRule="auto"/>
        <w:ind w:left="0"/>
        <w:contextualSpacing w:val="0"/>
        <w:rPr>
          <w:rFonts w:ascii="Arial" w:hAnsi="Arial" w:cs="Arial"/>
          <w:sz w:val="20"/>
          <w:szCs w:val="20"/>
        </w:rPr>
      </w:pPr>
      <w:r w:rsidRPr="00C90DB2">
        <w:rPr>
          <w:rFonts w:ascii="Arial" w:hAnsi="Arial" w:cs="Arial"/>
          <w:sz w:val="20"/>
          <w:szCs w:val="20"/>
        </w:rPr>
        <w:t>In the absence of a policy thrust on soil health in Nigeria, some development projects, notably I</w:t>
      </w:r>
      <w:r w:rsidR="00E60538">
        <w:rPr>
          <w:rFonts w:ascii="Arial" w:hAnsi="Arial" w:cs="Arial"/>
          <w:sz w:val="20"/>
          <w:szCs w:val="20"/>
        </w:rPr>
        <w:t xml:space="preserve">FDC, USAID-MARKETS II and the </w:t>
      </w:r>
      <w:r w:rsidR="00E60538" w:rsidRPr="00E60538">
        <w:rPr>
          <w:rFonts w:ascii="Arial" w:hAnsi="Arial" w:cs="Arial"/>
          <w:sz w:val="20"/>
          <w:szCs w:val="20"/>
        </w:rPr>
        <w:t xml:space="preserve">West Africa Agriculture Productivity </w:t>
      </w:r>
      <w:proofErr w:type="spellStart"/>
      <w:r w:rsidR="00E60538" w:rsidRPr="00E60538">
        <w:rPr>
          <w:rFonts w:ascii="Arial" w:hAnsi="Arial" w:cs="Arial"/>
          <w:sz w:val="20"/>
          <w:szCs w:val="20"/>
        </w:rPr>
        <w:t>Programme</w:t>
      </w:r>
      <w:proofErr w:type="spellEnd"/>
      <w:r w:rsidR="00E60538">
        <w:rPr>
          <w:rFonts w:ascii="Arial" w:hAnsi="Arial" w:cs="Arial"/>
          <w:sz w:val="20"/>
          <w:szCs w:val="20"/>
        </w:rPr>
        <w:t xml:space="preserve">- </w:t>
      </w:r>
      <w:r w:rsidRPr="00C90DB2">
        <w:rPr>
          <w:rFonts w:ascii="Arial" w:hAnsi="Arial" w:cs="Arial"/>
          <w:sz w:val="20"/>
          <w:szCs w:val="20"/>
        </w:rPr>
        <w:t>Nigeria</w:t>
      </w:r>
      <w:r w:rsidR="003D6171">
        <w:rPr>
          <w:rFonts w:ascii="Arial" w:hAnsi="Arial" w:cs="Arial"/>
          <w:sz w:val="20"/>
          <w:szCs w:val="20"/>
        </w:rPr>
        <w:t>,</w:t>
      </w:r>
      <w:r w:rsidRPr="00C90DB2">
        <w:rPr>
          <w:rFonts w:ascii="Arial" w:hAnsi="Arial" w:cs="Arial"/>
          <w:sz w:val="20"/>
          <w:szCs w:val="20"/>
        </w:rPr>
        <w:t xml:space="preserve"> have started to </w:t>
      </w:r>
      <w:r w:rsidRPr="00C90DB2">
        <w:rPr>
          <w:rFonts w:ascii="Arial" w:hAnsi="Arial" w:cs="Arial"/>
          <w:sz w:val="20"/>
          <w:szCs w:val="20"/>
        </w:rPr>
        <w:lastRenderedPageBreak/>
        <w:t xml:space="preserve">initiate pilot interventions on the </w:t>
      </w:r>
      <w:r w:rsidR="00B55E07" w:rsidRPr="00C90DB2">
        <w:rPr>
          <w:rFonts w:ascii="Arial" w:hAnsi="Arial" w:cs="Arial"/>
          <w:sz w:val="20"/>
          <w:szCs w:val="20"/>
        </w:rPr>
        <w:t>soil health</w:t>
      </w:r>
      <w:r w:rsidR="007328C8">
        <w:rPr>
          <w:rFonts w:ascii="Arial" w:hAnsi="Arial" w:cs="Arial"/>
          <w:sz w:val="20"/>
          <w:szCs w:val="20"/>
        </w:rPr>
        <w:t xml:space="preserve"> (see section: </w:t>
      </w:r>
      <w:r w:rsidR="007328C8" w:rsidRPr="003D6171">
        <w:rPr>
          <w:rFonts w:ascii="Arial" w:hAnsi="Arial" w:cs="Arial"/>
          <w:i/>
          <w:sz w:val="20"/>
          <w:szCs w:val="20"/>
        </w:rPr>
        <w:t xml:space="preserve">Other NGOs and initiatives active in </w:t>
      </w:r>
      <w:r w:rsidR="003D6171">
        <w:rPr>
          <w:rFonts w:ascii="Arial" w:hAnsi="Arial" w:cs="Arial"/>
          <w:i/>
          <w:sz w:val="20"/>
          <w:szCs w:val="20"/>
        </w:rPr>
        <w:t>Nigeria</w:t>
      </w:r>
      <w:r w:rsidR="007328C8" w:rsidRPr="003D6171">
        <w:rPr>
          <w:rFonts w:ascii="Arial" w:hAnsi="Arial" w:cs="Arial"/>
          <w:i/>
          <w:sz w:val="20"/>
          <w:szCs w:val="20"/>
        </w:rPr>
        <w:t xml:space="preserve"> in related areas</w:t>
      </w:r>
      <w:r w:rsidR="007328C8">
        <w:rPr>
          <w:rFonts w:ascii="Arial" w:hAnsi="Arial" w:cs="Arial"/>
          <w:sz w:val="20"/>
          <w:szCs w:val="20"/>
        </w:rPr>
        <w:t>).</w:t>
      </w:r>
    </w:p>
    <w:p w:rsidR="002659E6" w:rsidRPr="00B73FA9" w:rsidRDefault="002659E6" w:rsidP="006D01EE">
      <w:pPr>
        <w:spacing w:before="240" w:after="0" w:line="240" w:lineRule="auto"/>
        <w:rPr>
          <w:rFonts w:ascii="Arial" w:hAnsi="Arial" w:cs="Arial"/>
          <w:b/>
          <w:color w:val="92D050"/>
          <w:sz w:val="24"/>
          <w:szCs w:val="24"/>
        </w:rPr>
      </w:pPr>
      <w:r w:rsidRPr="00B73FA9">
        <w:rPr>
          <w:rFonts w:ascii="Arial" w:hAnsi="Arial" w:cs="Arial"/>
          <w:b/>
          <w:color w:val="92D050"/>
          <w:sz w:val="24"/>
          <w:szCs w:val="24"/>
        </w:rPr>
        <w:t xml:space="preserve">KNOWLEDGE SHARING ECOSYSTEMS </w:t>
      </w:r>
    </w:p>
    <w:p w:rsidR="002659E6" w:rsidRDefault="002659E6" w:rsidP="006D01EE">
      <w:pPr>
        <w:spacing w:before="240" w:after="0" w:line="240" w:lineRule="auto"/>
        <w:rPr>
          <w:rFonts w:ascii="Arial" w:hAnsi="Arial" w:cs="Arial"/>
          <w:b/>
          <w:color w:val="92D050"/>
          <w:sz w:val="24"/>
          <w:szCs w:val="24"/>
        </w:rPr>
      </w:pPr>
      <w:r w:rsidRPr="00B73FA9">
        <w:rPr>
          <w:rFonts w:ascii="Arial" w:hAnsi="Arial" w:cs="Arial"/>
          <w:b/>
          <w:color w:val="92D050"/>
          <w:sz w:val="24"/>
          <w:szCs w:val="24"/>
        </w:rPr>
        <w:t xml:space="preserve">The structure of national extension services </w:t>
      </w:r>
    </w:p>
    <w:p w:rsidR="009477D5" w:rsidRDefault="009477D5" w:rsidP="009477D5">
      <w:pPr>
        <w:spacing w:after="0"/>
        <w:rPr>
          <w:rFonts w:ascii="Arial" w:eastAsia="MS Mincho" w:hAnsi="Arial"/>
          <w:sz w:val="20"/>
          <w:szCs w:val="20"/>
        </w:rPr>
      </w:pPr>
    </w:p>
    <w:p w:rsidR="009477D5" w:rsidRDefault="009477D5" w:rsidP="0069286C">
      <w:pPr>
        <w:tabs>
          <w:tab w:val="left" w:pos="5670"/>
        </w:tabs>
        <w:spacing w:after="0"/>
        <w:rPr>
          <w:rFonts w:ascii="Arial" w:eastAsia="MS Mincho" w:hAnsi="Arial"/>
          <w:sz w:val="20"/>
          <w:szCs w:val="20"/>
        </w:rPr>
      </w:pPr>
      <w:r>
        <w:rPr>
          <w:rFonts w:ascii="Arial" w:eastAsia="MS Mincho" w:hAnsi="Arial"/>
          <w:sz w:val="20"/>
          <w:szCs w:val="20"/>
        </w:rPr>
        <w:t>Extension staff: farming families</w:t>
      </w:r>
      <w:r w:rsidR="00A03090">
        <w:rPr>
          <w:rStyle w:val="FootnoteReference"/>
          <w:rFonts w:ascii="Arial" w:eastAsia="MS Mincho" w:hAnsi="Arial"/>
          <w:sz w:val="20"/>
          <w:szCs w:val="20"/>
        </w:rPr>
        <w:footnoteReference w:id="13"/>
      </w:r>
      <w:r w:rsidR="0069286C">
        <w:rPr>
          <w:rFonts w:ascii="Arial" w:eastAsia="MS Mincho" w:hAnsi="Arial"/>
          <w:sz w:val="20"/>
          <w:szCs w:val="20"/>
        </w:rPr>
        <w:tab/>
      </w:r>
      <w:r w:rsidR="008966C0">
        <w:rPr>
          <w:rFonts w:ascii="Arial" w:hAnsi="Arial" w:cs="Times New Roman"/>
          <w:sz w:val="20"/>
          <w:szCs w:val="20"/>
        </w:rPr>
        <w:t>1:3</w:t>
      </w:r>
      <w:r w:rsidR="001E5DC6">
        <w:rPr>
          <w:rFonts w:ascii="Arial" w:hAnsi="Arial" w:cs="Times New Roman"/>
          <w:sz w:val="20"/>
          <w:szCs w:val="20"/>
        </w:rPr>
        <w:t>,</w:t>
      </w:r>
      <w:r w:rsidR="008966C0">
        <w:rPr>
          <w:rFonts w:ascii="Arial" w:hAnsi="Arial" w:cs="Times New Roman"/>
          <w:sz w:val="20"/>
          <w:szCs w:val="20"/>
        </w:rPr>
        <w:t>669</w:t>
      </w:r>
    </w:p>
    <w:p w:rsidR="009477D5" w:rsidRPr="00760F87" w:rsidRDefault="009477D5" w:rsidP="0069286C">
      <w:pPr>
        <w:pStyle w:val="Default"/>
        <w:tabs>
          <w:tab w:val="left" w:pos="5670"/>
        </w:tabs>
        <w:rPr>
          <w:rFonts w:ascii="Arial" w:hAnsi="Arial" w:cs="Times New Roman"/>
          <w:color w:val="auto"/>
          <w:sz w:val="20"/>
          <w:szCs w:val="20"/>
        </w:rPr>
      </w:pPr>
      <w:r w:rsidRPr="009006E8">
        <w:rPr>
          <w:rFonts w:ascii="Arial" w:hAnsi="Arial" w:cs="Times New Roman"/>
          <w:color w:val="auto"/>
          <w:sz w:val="20"/>
          <w:szCs w:val="20"/>
        </w:rPr>
        <w:t>Number of extension staff in</w:t>
      </w:r>
      <w:r w:rsidR="0069286C">
        <w:rPr>
          <w:rFonts w:ascii="Arial" w:hAnsi="Arial" w:cs="Times New Roman"/>
          <w:color w:val="auto"/>
          <w:sz w:val="20"/>
          <w:szCs w:val="20"/>
        </w:rPr>
        <w:t xml:space="preserve"> country</w:t>
      </w:r>
      <w:r w:rsidR="00A03090" w:rsidRPr="00A03090">
        <w:rPr>
          <w:rFonts w:ascii="Arial" w:hAnsi="Arial" w:cs="Times New Roman"/>
          <w:color w:val="auto"/>
          <w:sz w:val="20"/>
          <w:szCs w:val="20"/>
          <w:vertAlign w:val="superscript"/>
        </w:rPr>
        <w:t>13</w:t>
      </w:r>
      <w:r w:rsidR="0069286C">
        <w:rPr>
          <w:rFonts w:ascii="Arial" w:hAnsi="Arial" w:cs="Times New Roman"/>
          <w:color w:val="auto"/>
          <w:sz w:val="20"/>
          <w:szCs w:val="20"/>
        </w:rPr>
        <w:tab/>
      </w:r>
      <w:r w:rsidR="008966C0">
        <w:rPr>
          <w:rFonts w:ascii="Arial" w:hAnsi="Arial" w:cs="Times New Roman"/>
          <w:color w:val="auto"/>
          <w:sz w:val="20"/>
          <w:szCs w:val="20"/>
        </w:rPr>
        <w:t>3</w:t>
      </w:r>
      <w:r w:rsidR="00A03090">
        <w:rPr>
          <w:rFonts w:ascii="Arial" w:hAnsi="Arial" w:cs="Times New Roman"/>
          <w:color w:val="auto"/>
          <w:sz w:val="20"/>
          <w:szCs w:val="20"/>
        </w:rPr>
        <w:t>,</w:t>
      </w:r>
      <w:r w:rsidR="008966C0">
        <w:rPr>
          <w:rFonts w:ascii="Arial" w:hAnsi="Arial" w:cs="Times New Roman"/>
          <w:color w:val="auto"/>
          <w:sz w:val="20"/>
          <w:szCs w:val="20"/>
        </w:rPr>
        <w:t>823</w:t>
      </w:r>
    </w:p>
    <w:p w:rsidR="002659E6" w:rsidRPr="00DE3092" w:rsidRDefault="002659E6" w:rsidP="003D6171">
      <w:pPr>
        <w:spacing w:before="240" w:after="120" w:line="240" w:lineRule="auto"/>
        <w:rPr>
          <w:rFonts w:ascii="Arial" w:hAnsi="Arial" w:cs="Arial"/>
          <w:sz w:val="20"/>
          <w:szCs w:val="20"/>
        </w:rPr>
      </w:pPr>
      <w:r w:rsidRPr="00DE3092">
        <w:rPr>
          <w:rFonts w:ascii="Arial" w:hAnsi="Arial" w:cs="Arial"/>
          <w:sz w:val="20"/>
          <w:szCs w:val="20"/>
        </w:rPr>
        <w:t>Historically, government has been the provider of agricultural extension services in Nigeria. Worldwide, on the eve of the current millennium, about 80% of all agricultural extension services were publicly funded and delivered by civil servants.</w:t>
      </w:r>
      <w:r w:rsidRPr="00DE3092">
        <w:rPr>
          <w:rStyle w:val="FootnoteReference"/>
          <w:rFonts w:ascii="Arial" w:hAnsi="Arial" w:cs="Arial"/>
          <w:sz w:val="20"/>
          <w:szCs w:val="20"/>
        </w:rPr>
        <w:footnoteReference w:id="14"/>
      </w:r>
      <w:r w:rsidRPr="00DE3092">
        <w:rPr>
          <w:rFonts w:ascii="Arial" w:hAnsi="Arial" w:cs="Arial"/>
          <w:sz w:val="20"/>
          <w:szCs w:val="20"/>
        </w:rPr>
        <w:t xml:space="preserve"> The situation in Nigeria has been similar </w:t>
      </w:r>
      <w:r w:rsidR="003D6171">
        <w:rPr>
          <w:rFonts w:ascii="Arial" w:hAnsi="Arial" w:cs="Arial"/>
          <w:sz w:val="20"/>
          <w:szCs w:val="20"/>
        </w:rPr>
        <w:t xml:space="preserve">to </w:t>
      </w:r>
      <w:r w:rsidRPr="00DE3092">
        <w:rPr>
          <w:rFonts w:ascii="Arial" w:hAnsi="Arial" w:cs="Arial"/>
          <w:sz w:val="20"/>
          <w:szCs w:val="20"/>
        </w:rPr>
        <w:t xml:space="preserve">the global trend. However, in Nigeria today, </w:t>
      </w:r>
      <w:r w:rsidR="009477D5" w:rsidRPr="00DE3092">
        <w:rPr>
          <w:rFonts w:ascii="Arial" w:hAnsi="Arial" w:cs="Arial"/>
          <w:sz w:val="20"/>
          <w:szCs w:val="20"/>
        </w:rPr>
        <w:t>extension is</w:t>
      </w:r>
      <w:r w:rsidRPr="00DE3092">
        <w:rPr>
          <w:rFonts w:ascii="Arial" w:hAnsi="Arial" w:cs="Arial"/>
          <w:sz w:val="20"/>
          <w:szCs w:val="20"/>
        </w:rPr>
        <w:t xml:space="preserve"> gradually pluralizing.</w:t>
      </w:r>
    </w:p>
    <w:p w:rsidR="002659E6" w:rsidRPr="00DE3092" w:rsidRDefault="002659E6" w:rsidP="003D6171">
      <w:pPr>
        <w:spacing w:after="120" w:line="240" w:lineRule="auto"/>
        <w:rPr>
          <w:rFonts w:ascii="Arial" w:hAnsi="Arial" w:cs="Arial"/>
          <w:sz w:val="20"/>
          <w:szCs w:val="20"/>
        </w:rPr>
      </w:pPr>
      <w:r w:rsidRPr="00DE3092">
        <w:rPr>
          <w:rFonts w:ascii="Arial" w:hAnsi="Arial" w:cs="Arial"/>
          <w:sz w:val="20"/>
          <w:szCs w:val="20"/>
        </w:rPr>
        <w:t xml:space="preserve">In the mid-1970s, with funding and technical assistance from the World Bank, a key objective was to build a strong national capacity to deliver government-run agricultural extension services. Hence, an Agricultural Development </w:t>
      </w:r>
      <w:proofErr w:type="spellStart"/>
      <w:r w:rsidRPr="00DE3092">
        <w:rPr>
          <w:rFonts w:ascii="Arial" w:hAnsi="Arial" w:cs="Arial"/>
          <w:sz w:val="20"/>
          <w:szCs w:val="20"/>
        </w:rPr>
        <w:t>Programme</w:t>
      </w:r>
      <w:proofErr w:type="spellEnd"/>
      <w:r w:rsidRPr="00DE3092">
        <w:rPr>
          <w:rFonts w:ascii="Arial" w:hAnsi="Arial" w:cs="Arial"/>
          <w:sz w:val="20"/>
          <w:szCs w:val="20"/>
        </w:rPr>
        <w:t xml:space="preserve"> (ADP) was established in each state cross Nigeria. The ratio of extensio</w:t>
      </w:r>
      <w:r w:rsidR="009477D5" w:rsidRPr="00DE3092">
        <w:rPr>
          <w:rFonts w:ascii="Arial" w:hAnsi="Arial" w:cs="Arial"/>
          <w:sz w:val="20"/>
          <w:szCs w:val="20"/>
        </w:rPr>
        <w:t>n agent to farm families</w:t>
      </w:r>
      <w:r w:rsidRPr="00DE3092">
        <w:rPr>
          <w:rFonts w:ascii="Arial" w:hAnsi="Arial" w:cs="Arial"/>
          <w:sz w:val="20"/>
          <w:szCs w:val="20"/>
        </w:rPr>
        <w:t xml:space="preserve"> at the time was estimated at over </w:t>
      </w:r>
      <w:r w:rsidR="00DE3092" w:rsidRPr="00DE3092">
        <w:rPr>
          <w:rFonts w:ascii="Arial" w:hAnsi="Arial" w:cs="Arial"/>
          <w:sz w:val="20"/>
          <w:szCs w:val="20"/>
        </w:rPr>
        <w:t>1</w:t>
      </w:r>
      <w:r w:rsidRPr="00DE3092">
        <w:rPr>
          <w:rFonts w:ascii="Arial" w:hAnsi="Arial" w:cs="Arial"/>
          <w:sz w:val="20"/>
          <w:szCs w:val="20"/>
        </w:rPr>
        <w:t>:15</w:t>
      </w:r>
      <w:r w:rsidR="00DE3092" w:rsidRPr="00DE3092">
        <w:rPr>
          <w:rFonts w:ascii="Arial" w:hAnsi="Arial" w:cs="Arial"/>
          <w:sz w:val="20"/>
          <w:szCs w:val="20"/>
        </w:rPr>
        <w:t>,000</w:t>
      </w:r>
      <w:r w:rsidR="003D6171">
        <w:rPr>
          <w:rFonts w:ascii="Arial" w:hAnsi="Arial" w:cs="Arial"/>
          <w:sz w:val="20"/>
          <w:szCs w:val="20"/>
        </w:rPr>
        <w:t>;</w:t>
      </w:r>
      <w:r w:rsidRPr="00DE3092">
        <w:rPr>
          <w:rFonts w:ascii="Arial" w:hAnsi="Arial" w:cs="Arial"/>
          <w:sz w:val="20"/>
          <w:szCs w:val="20"/>
        </w:rPr>
        <w:t xml:space="preserve"> in </w:t>
      </w:r>
      <w:r w:rsidR="00DE3092" w:rsidRPr="00DE3092">
        <w:rPr>
          <w:rFonts w:ascii="Arial" w:hAnsi="Arial" w:cs="Arial"/>
          <w:sz w:val="20"/>
          <w:szCs w:val="20"/>
        </w:rPr>
        <w:t>order to achieve a target of 1</w:t>
      </w:r>
      <w:r w:rsidRPr="00DE3092">
        <w:rPr>
          <w:rFonts w:ascii="Arial" w:hAnsi="Arial" w:cs="Arial"/>
          <w:sz w:val="20"/>
          <w:szCs w:val="20"/>
        </w:rPr>
        <w:t>:1</w:t>
      </w:r>
      <w:r w:rsidR="00DE3092" w:rsidRPr="00DE3092">
        <w:rPr>
          <w:rFonts w:ascii="Arial" w:hAnsi="Arial" w:cs="Arial"/>
          <w:sz w:val="20"/>
          <w:szCs w:val="20"/>
        </w:rPr>
        <w:t>,000</w:t>
      </w:r>
      <w:r w:rsidRPr="00DE3092">
        <w:rPr>
          <w:rFonts w:ascii="Arial" w:hAnsi="Arial" w:cs="Arial"/>
          <w:sz w:val="20"/>
          <w:szCs w:val="20"/>
        </w:rPr>
        <w:t>, there was massive enrollment in training courses on agricultural extension to increase the number of qualified personnel.</w:t>
      </w:r>
      <w:r w:rsidRPr="00DE3092">
        <w:rPr>
          <w:rStyle w:val="FootnoteReference"/>
          <w:rFonts w:ascii="Arial" w:hAnsi="Arial" w:cs="Arial"/>
          <w:sz w:val="20"/>
          <w:szCs w:val="20"/>
        </w:rPr>
        <w:footnoteReference w:id="15"/>
      </w:r>
    </w:p>
    <w:p w:rsidR="002659E6" w:rsidRPr="00DE3092" w:rsidRDefault="002659E6" w:rsidP="003D6171">
      <w:pPr>
        <w:spacing w:after="120" w:line="240" w:lineRule="auto"/>
        <w:rPr>
          <w:rFonts w:ascii="Arial" w:hAnsi="Arial" w:cs="Arial"/>
          <w:sz w:val="20"/>
          <w:szCs w:val="20"/>
        </w:rPr>
      </w:pPr>
      <w:r w:rsidRPr="00DE3092">
        <w:rPr>
          <w:rFonts w:ascii="Arial" w:hAnsi="Arial" w:cs="Arial"/>
          <w:sz w:val="20"/>
          <w:szCs w:val="20"/>
        </w:rPr>
        <w:t>Following the withdrawal of World Bank support, the human, organizational, logistical and institutional (i.e. policy) structures developed were neither sustained nor improved upon, as funding became the responsibility of the local state governments.  Factors, including low priority on agriculture, translated into inadequate local funding, and the agricultural extension systems deteriorated in terms of number of personnel, infrastructure, and the quality of services.</w:t>
      </w:r>
      <w:r w:rsidRPr="00DE3092">
        <w:rPr>
          <w:rStyle w:val="FootnoteReference"/>
          <w:rFonts w:ascii="Arial" w:hAnsi="Arial" w:cs="Arial"/>
          <w:sz w:val="20"/>
          <w:szCs w:val="20"/>
        </w:rPr>
        <w:footnoteReference w:id="16"/>
      </w:r>
    </w:p>
    <w:p w:rsidR="002659E6" w:rsidRDefault="002659E6" w:rsidP="003D6171">
      <w:pPr>
        <w:spacing w:after="120" w:line="240" w:lineRule="auto"/>
        <w:rPr>
          <w:rFonts w:ascii="Arial" w:hAnsi="Arial" w:cs="Arial"/>
          <w:sz w:val="20"/>
          <w:szCs w:val="20"/>
        </w:rPr>
      </w:pPr>
      <w:r w:rsidRPr="00DE3092">
        <w:rPr>
          <w:rFonts w:ascii="Arial" w:hAnsi="Arial" w:cs="Arial"/>
          <w:sz w:val="20"/>
          <w:szCs w:val="20"/>
        </w:rPr>
        <w:t>In 2008,</w:t>
      </w:r>
      <w:r w:rsidR="00DE3092" w:rsidRPr="00DE3092">
        <w:rPr>
          <w:rFonts w:ascii="Arial" w:hAnsi="Arial" w:cs="Arial"/>
          <w:sz w:val="20"/>
          <w:szCs w:val="20"/>
        </w:rPr>
        <w:t xml:space="preserve"> the Government of Nigeria</w:t>
      </w:r>
      <w:r w:rsidRPr="00DE3092">
        <w:rPr>
          <w:rFonts w:ascii="Arial" w:hAnsi="Arial" w:cs="Arial"/>
          <w:sz w:val="20"/>
          <w:szCs w:val="20"/>
        </w:rPr>
        <w:t xml:space="preserve">, through the National Food Security </w:t>
      </w:r>
      <w:proofErr w:type="spellStart"/>
      <w:r w:rsidRPr="00DE3092">
        <w:rPr>
          <w:rFonts w:ascii="Arial" w:hAnsi="Arial" w:cs="Arial"/>
          <w:sz w:val="20"/>
          <w:szCs w:val="20"/>
        </w:rPr>
        <w:t>Programme</w:t>
      </w:r>
      <w:proofErr w:type="spellEnd"/>
      <w:r w:rsidRPr="00DE3092">
        <w:rPr>
          <w:rFonts w:ascii="Arial" w:hAnsi="Arial" w:cs="Arial"/>
          <w:sz w:val="20"/>
          <w:szCs w:val="20"/>
        </w:rPr>
        <w:t xml:space="preserve"> (NFSP), </w:t>
      </w:r>
      <w:r w:rsidR="00DE3092" w:rsidRPr="00DE3092">
        <w:rPr>
          <w:rFonts w:ascii="Arial" w:hAnsi="Arial" w:cs="Arial"/>
          <w:sz w:val="20"/>
          <w:szCs w:val="20"/>
        </w:rPr>
        <w:t>set out</w:t>
      </w:r>
      <w:r w:rsidRPr="00DE3092">
        <w:rPr>
          <w:rFonts w:ascii="Arial" w:hAnsi="Arial" w:cs="Arial"/>
          <w:sz w:val="20"/>
          <w:szCs w:val="20"/>
        </w:rPr>
        <w:t xml:space="preserve"> a plan to train 10,000 highly competent extension workers per year,</w:t>
      </w:r>
      <w:r w:rsidR="00DE3092">
        <w:rPr>
          <w:rFonts w:ascii="Arial" w:hAnsi="Arial" w:cs="Arial"/>
          <w:sz w:val="20"/>
          <w:szCs w:val="20"/>
        </w:rPr>
        <w:t xml:space="preserve"> toward achieving a ratio of 1:350</w:t>
      </w:r>
      <w:r w:rsidRPr="00DE3092">
        <w:rPr>
          <w:rFonts w:ascii="Arial" w:hAnsi="Arial" w:cs="Arial"/>
          <w:sz w:val="20"/>
          <w:szCs w:val="20"/>
        </w:rPr>
        <w:t>.  The NFSP, an agency under the Federal Ministry of Agriculture and Rural Development (FMARD), has no fu</w:t>
      </w:r>
      <w:r w:rsidR="00DE3092" w:rsidRPr="00DE3092">
        <w:rPr>
          <w:rFonts w:ascii="Arial" w:hAnsi="Arial" w:cs="Arial"/>
          <w:sz w:val="20"/>
          <w:szCs w:val="20"/>
        </w:rPr>
        <w:t xml:space="preserve">nding obligations to state ADPs, so </w:t>
      </w:r>
      <w:r w:rsidRPr="00DE3092">
        <w:rPr>
          <w:rFonts w:ascii="Arial" w:hAnsi="Arial" w:cs="Arial"/>
          <w:sz w:val="20"/>
          <w:szCs w:val="20"/>
        </w:rPr>
        <w:t>revitalization of th</w:t>
      </w:r>
      <w:r w:rsidR="00DE3092" w:rsidRPr="00DE3092">
        <w:rPr>
          <w:rFonts w:ascii="Arial" w:hAnsi="Arial" w:cs="Arial"/>
          <w:sz w:val="20"/>
          <w:szCs w:val="20"/>
        </w:rPr>
        <w:t>e agricultural extension system has not been resourced.</w:t>
      </w:r>
    </w:p>
    <w:p w:rsidR="00A03090" w:rsidRDefault="00A03090" w:rsidP="001E5DC6">
      <w:pPr>
        <w:spacing w:after="120" w:line="240" w:lineRule="auto"/>
        <w:rPr>
          <w:rFonts w:ascii="Arial" w:hAnsi="Arial" w:cs="Arial"/>
          <w:sz w:val="20"/>
          <w:szCs w:val="20"/>
        </w:rPr>
      </w:pPr>
      <w:r>
        <w:rPr>
          <w:rFonts w:ascii="Arial" w:hAnsi="Arial" w:cs="Arial"/>
          <w:sz w:val="20"/>
          <w:szCs w:val="20"/>
        </w:rPr>
        <w:t xml:space="preserve">Data collected </w:t>
      </w:r>
      <w:r w:rsidR="001E5DC6">
        <w:rPr>
          <w:rFonts w:ascii="Arial" w:hAnsi="Arial" w:cs="Arial"/>
          <w:sz w:val="20"/>
          <w:szCs w:val="20"/>
        </w:rPr>
        <w:t xml:space="preserve">especially </w:t>
      </w:r>
      <w:r>
        <w:rPr>
          <w:rFonts w:ascii="Arial" w:hAnsi="Arial" w:cs="Arial"/>
          <w:sz w:val="20"/>
          <w:szCs w:val="20"/>
        </w:rPr>
        <w:t xml:space="preserve">for this report in </w:t>
      </w:r>
      <w:r w:rsidR="001E5DC6">
        <w:rPr>
          <w:rFonts w:ascii="Arial" w:hAnsi="Arial" w:cs="Arial"/>
          <w:sz w:val="20"/>
          <w:szCs w:val="20"/>
        </w:rPr>
        <w:t xml:space="preserve">early </w:t>
      </w:r>
      <w:r>
        <w:rPr>
          <w:rFonts w:ascii="Arial" w:hAnsi="Arial" w:cs="Arial"/>
          <w:sz w:val="20"/>
          <w:szCs w:val="20"/>
        </w:rPr>
        <w:t xml:space="preserve">2015 from 20 of the 36 states shows that </w:t>
      </w:r>
      <w:r w:rsidR="001E5DC6">
        <w:rPr>
          <w:rFonts w:ascii="Arial" w:hAnsi="Arial" w:cs="Arial"/>
          <w:sz w:val="20"/>
          <w:szCs w:val="20"/>
        </w:rPr>
        <w:t xml:space="preserve">the total number of extension agents in these states is 3823. Of these the proportion who are women varies between states from 8-19%; across all 20 states the ratio of extension agents to farming families is 1:3,669, but this varies from a low of 1:1,195 in </w:t>
      </w:r>
      <w:proofErr w:type="spellStart"/>
      <w:r w:rsidR="001E5DC6" w:rsidRPr="001E5DC6">
        <w:rPr>
          <w:rFonts w:ascii="Arial" w:hAnsi="Arial" w:cs="Arial"/>
          <w:sz w:val="20"/>
          <w:szCs w:val="20"/>
        </w:rPr>
        <w:t>Jigawa</w:t>
      </w:r>
      <w:proofErr w:type="spellEnd"/>
      <w:r w:rsidR="001E5DC6">
        <w:rPr>
          <w:rFonts w:ascii="Arial" w:hAnsi="Arial" w:cs="Arial"/>
          <w:sz w:val="20"/>
          <w:szCs w:val="20"/>
        </w:rPr>
        <w:t xml:space="preserve"> State to a high of 1:12,608 in Rivers State.</w:t>
      </w:r>
    </w:p>
    <w:p w:rsidR="001E5DC6" w:rsidRPr="001E5DC6" w:rsidRDefault="001E5DC6" w:rsidP="001E5DC6">
      <w:pPr>
        <w:spacing w:after="120" w:line="240" w:lineRule="auto"/>
        <w:rPr>
          <w:rFonts w:ascii="Arial" w:hAnsi="Arial" w:cs="Arial"/>
          <w:sz w:val="20"/>
          <w:szCs w:val="20"/>
        </w:rPr>
      </w:pPr>
      <w:r w:rsidRPr="001E5DC6">
        <w:rPr>
          <w:rFonts w:ascii="Arial" w:hAnsi="Arial" w:cs="Arial"/>
          <w:sz w:val="20"/>
          <w:szCs w:val="20"/>
        </w:rPr>
        <w:t xml:space="preserve">In all the respondent states, </w:t>
      </w:r>
      <w:r>
        <w:rPr>
          <w:rFonts w:ascii="Arial" w:hAnsi="Arial" w:cs="Arial"/>
          <w:sz w:val="20"/>
          <w:szCs w:val="20"/>
        </w:rPr>
        <w:t>extension agents</w:t>
      </w:r>
      <w:r w:rsidRPr="001E5DC6">
        <w:rPr>
          <w:rFonts w:ascii="Arial" w:hAnsi="Arial" w:cs="Arial"/>
          <w:sz w:val="20"/>
          <w:szCs w:val="20"/>
        </w:rPr>
        <w:t xml:space="preserve"> </w:t>
      </w:r>
      <w:r w:rsidR="008762E8">
        <w:rPr>
          <w:rFonts w:ascii="Arial" w:hAnsi="Arial" w:cs="Arial"/>
          <w:sz w:val="20"/>
          <w:szCs w:val="20"/>
        </w:rPr>
        <w:t xml:space="preserve">(EA) </w:t>
      </w:r>
      <w:r w:rsidRPr="001E5DC6">
        <w:rPr>
          <w:rFonts w:ascii="Arial" w:hAnsi="Arial" w:cs="Arial"/>
          <w:sz w:val="20"/>
          <w:szCs w:val="20"/>
        </w:rPr>
        <w:t>are centrally employed as civil servants by the state government, but are deployed to local government areas. The EAs are kitted</w:t>
      </w:r>
      <w:r>
        <w:rPr>
          <w:rFonts w:ascii="Arial" w:hAnsi="Arial" w:cs="Arial"/>
          <w:sz w:val="20"/>
          <w:szCs w:val="20"/>
        </w:rPr>
        <w:t>-out</w:t>
      </w:r>
      <w:r w:rsidRPr="001E5DC6">
        <w:rPr>
          <w:rFonts w:ascii="Arial" w:hAnsi="Arial" w:cs="Arial"/>
          <w:sz w:val="20"/>
          <w:szCs w:val="20"/>
        </w:rPr>
        <w:t xml:space="preserve"> and supervised from the ADP’s head-office at the state capital, through the local government department of agriculture. In practice, this is a cumbersome bureaucratic process, characterized by poor supervision of the </w:t>
      </w:r>
      <w:r>
        <w:rPr>
          <w:rFonts w:ascii="Arial" w:hAnsi="Arial" w:cs="Arial"/>
          <w:sz w:val="20"/>
          <w:szCs w:val="20"/>
        </w:rPr>
        <w:t>agents</w:t>
      </w:r>
      <w:r w:rsidRPr="001E5DC6">
        <w:rPr>
          <w:rFonts w:ascii="Arial" w:hAnsi="Arial" w:cs="Arial"/>
          <w:sz w:val="20"/>
          <w:szCs w:val="20"/>
        </w:rPr>
        <w:t>, non-provision of required logistical support and</w:t>
      </w:r>
      <w:r>
        <w:rPr>
          <w:rFonts w:ascii="Arial" w:hAnsi="Arial" w:cs="Arial"/>
          <w:sz w:val="20"/>
          <w:szCs w:val="20"/>
        </w:rPr>
        <w:t>,</w:t>
      </w:r>
      <w:r w:rsidRPr="001E5DC6">
        <w:rPr>
          <w:rFonts w:ascii="Arial" w:hAnsi="Arial" w:cs="Arial"/>
          <w:sz w:val="20"/>
          <w:szCs w:val="20"/>
        </w:rPr>
        <w:t xml:space="preserve"> in some cases</w:t>
      </w:r>
      <w:r>
        <w:rPr>
          <w:rFonts w:ascii="Arial" w:hAnsi="Arial" w:cs="Arial"/>
          <w:sz w:val="20"/>
          <w:szCs w:val="20"/>
        </w:rPr>
        <w:t>,</w:t>
      </w:r>
      <w:r w:rsidRPr="001E5DC6">
        <w:rPr>
          <w:rFonts w:ascii="Arial" w:hAnsi="Arial" w:cs="Arial"/>
          <w:sz w:val="20"/>
          <w:szCs w:val="20"/>
        </w:rPr>
        <w:t xml:space="preserve"> non-payment of their</w:t>
      </w:r>
      <w:r>
        <w:rPr>
          <w:rFonts w:ascii="Arial" w:hAnsi="Arial" w:cs="Arial"/>
          <w:sz w:val="20"/>
          <w:szCs w:val="20"/>
        </w:rPr>
        <w:t xml:space="preserve"> salaries.</w:t>
      </w:r>
    </w:p>
    <w:p w:rsidR="001E5DC6" w:rsidRPr="001E5DC6" w:rsidRDefault="001E5DC6" w:rsidP="001E5DC6">
      <w:pPr>
        <w:spacing w:after="120" w:line="240" w:lineRule="auto"/>
        <w:rPr>
          <w:rFonts w:ascii="Arial" w:hAnsi="Arial" w:cs="Arial"/>
          <w:sz w:val="20"/>
          <w:szCs w:val="20"/>
        </w:rPr>
      </w:pPr>
      <w:r w:rsidRPr="001E5DC6">
        <w:rPr>
          <w:rFonts w:ascii="Arial" w:hAnsi="Arial" w:cs="Arial"/>
          <w:sz w:val="20"/>
          <w:szCs w:val="20"/>
        </w:rPr>
        <w:t xml:space="preserve">Some donor projects, such as the West Africa Agricultural Productivity </w:t>
      </w:r>
      <w:proofErr w:type="spellStart"/>
      <w:r w:rsidRPr="001E5DC6">
        <w:rPr>
          <w:rFonts w:ascii="Arial" w:hAnsi="Arial" w:cs="Arial"/>
          <w:sz w:val="20"/>
          <w:szCs w:val="20"/>
        </w:rPr>
        <w:t>Programme</w:t>
      </w:r>
      <w:proofErr w:type="spellEnd"/>
      <w:r w:rsidRPr="001E5DC6">
        <w:rPr>
          <w:rFonts w:ascii="Arial" w:hAnsi="Arial" w:cs="Arial"/>
          <w:sz w:val="20"/>
          <w:szCs w:val="20"/>
        </w:rPr>
        <w:t xml:space="preserve"> (WAAPP)</w:t>
      </w:r>
      <w:r w:rsidRPr="001E5DC6">
        <w:rPr>
          <w:rFonts w:ascii="Arial" w:hAnsi="Arial" w:cs="Arial"/>
          <w:sz w:val="20"/>
          <w:szCs w:val="20"/>
          <w:vertAlign w:val="superscript"/>
        </w:rPr>
        <w:footnoteReference w:id="17"/>
      </w:r>
      <w:r w:rsidRPr="001E5DC6">
        <w:rPr>
          <w:rFonts w:ascii="Arial" w:hAnsi="Arial" w:cs="Arial"/>
          <w:sz w:val="20"/>
          <w:szCs w:val="20"/>
        </w:rPr>
        <w:t>, funded by the World Bank, and the USAID-funded MARKETS II</w:t>
      </w:r>
      <w:r w:rsidRPr="001E5DC6">
        <w:rPr>
          <w:rFonts w:ascii="Arial" w:hAnsi="Arial" w:cs="Arial"/>
          <w:sz w:val="20"/>
          <w:szCs w:val="20"/>
          <w:vertAlign w:val="superscript"/>
        </w:rPr>
        <w:footnoteReference w:id="18"/>
      </w:r>
      <w:r w:rsidRPr="001E5DC6">
        <w:rPr>
          <w:rFonts w:ascii="Arial" w:hAnsi="Arial" w:cs="Arial"/>
          <w:sz w:val="20"/>
          <w:szCs w:val="20"/>
        </w:rPr>
        <w:t xml:space="preserve">, implemented by </w:t>
      </w:r>
      <w:proofErr w:type="spellStart"/>
      <w:r w:rsidRPr="001E5DC6">
        <w:rPr>
          <w:rFonts w:ascii="Arial" w:hAnsi="Arial" w:cs="Arial"/>
          <w:sz w:val="20"/>
          <w:szCs w:val="20"/>
        </w:rPr>
        <w:t>Chemonics</w:t>
      </w:r>
      <w:proofErr w:type="spellEnd"/>
      <w:r w:rsidRPr="001E5DC6">
        <w:rPr>
          <w:rFonts w:ascii="Arial" w:hAnsi="Arial" w:cs="Arial"/>
          <w:sz w:val="20"/>
          <w:szCs w:val="20"/>
        </w:rPr>
        <w:t xml:space="preserve">, are supporting alternative models for the provision of agricultural advisory services, or channels for the diffusion of innovations, or the distribution of agricultural inputs (seeds, fertilizers and crop protection products).  These projects do not employ their own extension agents, but support the training, kitting and </w:t>
      </w:r>
      <w:r w:rsidRPr="001E5DC6">
        <w:rPr>
          <w:rFonts w:ascii="Arial" w:hAnsi="Arial" w:cs="Arial"/>
          <w:sz w:val="20"/>
          <w:szCs w:val="20"/>
        </w:rPr>
        <w:lastRenderedPageBreak/>
        <w:t>redeployment of the EAs already employed by the ADPs, to make them more efficient and productive.  MARKETS II utilized 40 of such EAs in three states (Kaduna, Nigeria and Ondo) while WAAPP-sponsored project activities engaged 450 EAs across 30 states in 2014.</w:t>
      </w:r>
      <w:r w:rsidRPr="001E5DC6">
        <w:rPr>
          <w:rFonts w:ascii="Arial" w:hAnsi="Arial" w:cs="Arial"/>
          <w:sz w:val="20"/>
          <w:szCs w:val="20"/>
          <w:vertAlign w:val="superscript"/>
        </w:rPr>
        <w:footnoteReference w:id="19"/>
      </w:r>
      <w:r w:rsidRPr="001E5DC6">
        <w:rPr>
          <w:rFonts w:ascii="Arial" w:hAnsi="Arial" w:cs="Arial"/>
          <w:sz w:val="20"/>
          <w:szCs w:val="20"/>
          <w:vertAlign w:val="superscript"/>
        </w:rPr>
        <w:t xml:space="preserve"> </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Nigeria has one of the largest National Agricultural Research and Extension System (NARES) in sub-Saharan Africa with more than 40 actors across the research and extension sector. Successive reforms, introduced since 2001, have seen the structure of national extension change in line with government’s priorities. </w:t>
      </w:r>
    </w:p>
    <w:p w:rsidR="00DE3092" w:rsidRDefault="002659E6" w:rsidP="006D01EE">
      <w:pPr>
        <w:spacing w:after="120" w:line="240" w:lineRule="auto"/>
        <w:rPr>
          <w:rFonts w:ascii="Arial" w:hAnsi="Arial" w:cs="Arial"/>
          <w:sz w:val="20"/>
          <w:szCs w:val="20"/>
        </w:rPr>
      </w:pPr>
      <w:r w:rsidRPr="0002792B">
        <w:rPr>
          <w:rFonts w:ascii="Arial" w:hAnsi="Arial" w:cs="Arial"/>
          <w:sz w:val="20"/>
          <w:szCs w:val="20"/>
        </w:rPr>
        <w:t>Initial</w:t>
      </w:r>
      <w:r w:rsidR="00DE3092">
        <w:rPr>
          <w:rFonts w:ascii="Arial" w:hAnsi="Arial" w:cs="Arial"/>
          <w:sz w:val="20"/>
          <w:szCs w:val="20"/>
        </w:rPr>
        <w:t>ly the</w:t>
      </w:r>
      <w:r w:rsidRPr="0002792B">
        <w:rPr>
          <w:rFonts w:ascii="Arial" w:hAnsi="Arial" w:cs="Arial"/>
          <w:sz w:val="20"/>
          <w:szCs w:val="20"/>
        </w:rPr>
        <w:t xml:space="preserve"> focus was on establishing of agricultural development projects (ADPs)</w:t>
      </w:r>
      <w:r w:rsidR="008966C0">
        <w:rPr>
          <w:rFonts w:ascii="Arial" w:hAnsi="Arial" w:cs="Arial"/>
          <w:sz w:val="20"/>
          <w:szCs w:val="20"/>
        </w:rPr>
        <w:t xml:space="preserve"> </w:t>
      </w:r>
      <w:r w:rsidRPr="0002792B">
        <w:rPr>
          <w:rFonts w:ascii="Arial" w:hAnsi="Arial" w:cs="Arial"/>
          <w:sz w:val="20"/>
          <w:szCs w:val="20"/>
        </w:rPr>
        <w:t>using the classical training and visit</w:t>
      </w:r>
      <w:r w:rsidR="008762E8">
        <w:rPr>
          <w:rFonts w:ascii="Arial" w:hAnsi="Arial" w:cs="Arial"/>
          <w:sz w:val="20"/>
          <w:szCs w:val="20"/>
        </w:rPr>
        <w:t xml:space="preserve"> </w:t>
      </w:r>
      <w:r w:rsidRPr="0002792B">
        <w:rPr>
          <w:rFonts w:ascii="Arial" w:hAnsi="Arial" w:cs="Arial"/>
          <w:sz w:val="20"/>
          <w:szCs w:val="20"/>
        </w:rPr>
        <w:t>extension system</w:t>
      </w:r>
      <w:r>
        <w:rPr>
          <w:rFonts w:ascii="Arial" w:hAnsi="Arial" w:cs="Arial"/>
          <w:sz w:val="20"/>
          <w:szCs w:val="20"/>
        </w:rPr>
        <w:t>, this</w:t>
      </w:r>
      <w:r w:rsidRPr="0002792B">
        <w:rPr>
          <w:rFonts w:ascii="Arial" w:hAnsi="Arial" w:cs="Arial"/>
          <w:sz w:val="20"/>
          <w:szCs w:val="20"/>
        </w:rPr>
        <w:t xml:space="preserve"> gave way to a unified agricultural extension service (UAES).</w:t>
      </w:r>
    </w:p>
    <w:p w:rsidR="00120E26" w:rsidRDefault="002659E6" w:rsidP="006D01EE">
      <w:pPr>
        <w:spacing w:after="120" w:line="240" w:lineRule="auto"/>
        <w:rPr>
          <w:rFonts w:ascii="Arial" w:hAnsi="Arial" w:cs="Arial"/>
          <w:sz w:val="20"/>
          <w:szCs w:val="20"/>
        </w:rPr>
      </w:pPr>
      <w:r w:rsidRPr="0002792B">
        <w:rPr>
          <w:rFonts w:ascii="Arial" w:hAnsi="Arial" w:cs="Arial"/>
          <w:sz w:val="20"/>
          <w:szCs w:val="20"/>
        </w:rPr>
        <w:t>A strong policy drive now exists to ensure that the extension system is transformed into a demand and knowledge-based agricultural extension sector that will increasing</w:t>
      </w:r>
      <w:r w:rsidR="00DE3092">
        <w:rPr>
          <w:rFonts w:ascii="Arial" w:hAnsi="Arial" w:cs="Arial"/>
          <w:sz w:val="20"/>
          <w:szCs w:val="20"/>
        </w:rPr>
        <w:t>ly</w:t>
      </w:r>
      <w:r w:rsidRPr="0002792B">
        <w:rPr>
          <w:rFonts w:ascii="Arial" w:hAnsi="Arial" w:cs="Arial"/>
          <w:sz w:val="20"/>
          <w:szCs w:val="20"/>
        </w:rPr>
        <w:t xml:space="preserve"> rely on ICTs to scale up outreach to farmers. </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The longstanding problem with institutional arrangements, coordination, collaboration, leadership and funding for Nigeria’s public agricultural extension service continue to inform the reform initiatives. National policy </w:t>
      </w:r>
      <w:r w:rsidR="008762E8">
        <w:rPr>
          <w:rFonts w:ascii="Arial" w:hAnsi="Arial" w:cs="Arial"/>
          <w:sz w:val="20"/>
          <w:szCs w:val="20"/>
        </w:rPr>
        <w:t>decided</w:t>
      </w:r>
      <w:r w:rsidRPr="0002792B">
        <w:rPr>
          <w:rFonts w:ascii="Arial" w:hAnsi="Arial" w:cs="Arial"/>
          <w:sz w:val="20"/>
          <w:szCs w:val="20"/>
        </w:rPr>
        <w:t xml:space="preserve"> to address some of the challenges by clarif</w:t>
      </w:r>
      <w:r w:rsidR="00120E26">
        <w:rPr>
          <w:rFonts w:ascii="Arial" w:hAnsi="Arial" w:cs="Arial"/>
          <w:sz w:val="20"/>
          <w:szCs w:val="20"/>
        </w:rPr>
        <w:t>ying</w:t>
      </w:r>
      <w:r w:rsidRPr="0002792B">
        <w:rPr>
          <w:rFonts w:ascii="Arial" w:hAnsi="Arial" w:cs="Arial"/>
          <w:sz w:val="20"/>
          <w:szCs w:val="20"/>
        </w:rPr>
        <w:t xml:space="preserve"> </w:t>
      </w:r>
      <w:r w:rsidR="00120E26">
        <w:rPr>
          <w:rFonts w:ascii="Arial" w:hAnsi="Arial" w:cs="Arial"/>
          <w:sz w:val="20"/>
          <w:szCs w:val="20"/>
        </w:rPr>
        <w:t>the</w:t>
      </w:r>
      <w:r w:rsidRPr="0002792B">
        <w:rPr>
          <w:rFonts w:ascii="Arial" w:hAnsi="Arial" w:cs="Arial"/>
          <w:sz w:val="20"/>
          <w:szCs w:val="20"/>
        </w:rPr>
        <w:t xml:space="preserve"> responsibilities of the</w:t>
      </w:r>
      <w:r w:rsidR="008966C0">
        <w:rPr>
          <w:rFonts w:ascii="Arial" w:hAnsi="Arial" w:cs="Arial"/>
          <w:sz w:val="20"/>
          <w:szCs w:val="20"/>
        </w:rPr>
        <w:t xml:space="preserve"> </w:t>
      </w:r>
      <w:r w:rsidRPr="0002792B">
        <w:rPr>
          <w:rFonts w:ascii="Arial" w:hAnsi="Arial" w:cs="Arial"/>
          <w:sz w:val="20"/>
          <w:szCs w:val="20"/>
        </w:rPr>
        <w:t xml:space="preserve">various tiers of government and the private sector. The sector operates on the basis of the federal government system </w:t>
      </w:r>
      <w:r>
        <w:rPr>
          <w:rFonts w:ascii="Arial" w:hAnsi="Arial" w:cs="Arial"/>
          <w:sz w:val="20"/>
          <w:szCs w:val="20"/>
        </w:rPr>
        <w:t>with</w:t>
      </w:r>
      <w:r w:rsidRPr="0002792B">
        <w:rPr>
          <w:rFonts w:ascii="Arial" w:hAnsi="Arial" w:cs="Arial"/>
          <w:sz w:val="20"/>
          <w:szCs w:val="20"/>
        </w:rPr>
        <w:t xml:space="preserve"> a key pillar being that states are expected to promote the targeted value chains in which they have comparative advantage. The basic roles </w:t>
      </w:r>
      <w:r>
        <w:rPr>
          <w:rFonts w:ascii="Arial" w:hAnsi="Arial" w:cs="Arial"/>
          <w:sz w:val="20"/>
          <w:szCs w:val="20"/>
        </w:rPr>
        <w:t>are</w:t>
      </w:r>
      <w:r w:rsidRPr="0002792B">
        <w:rPr>
          <w:rFonts w:ascii="Arial" w:hAnsi="Arial" w:cs="Arial"/>
          <w:sz w:val="20"/>
          <w:szCs w:val="20"/>
        </w:rPr>
        <w:t xml:space="preserve"> delineated as follows:</w:t>
      </w:r>
    </w:p>
    <w:p w:rsidR="002659E6" w:rsidRPr="0002792B" w:rsidRDefault="002659E6" w:rsidP="006D01EE">
      <w:pPr>
        <w:spacing w:after="120" w:line="240" w:lineRule="auto"/>
        <w:rPr>
          <w:rFonts w:ascii="Arial" w:hAnsi="Arial" w:cs="Arial"/>
          <w:sz w:val="20"/>
          <w:szCs w:val="20"/>
        </w:rPr>
      </w:pPr>
      <w:r w:rsidRPr="0002792B">
        <w:rPr>
          <w:rFonts w:ascii="Arial" w:hAnsi="Arial" w:cs="Arial"/>
          <w:b/>
          <w:bCs/>
          <w:sz w:val="20"/>
          <w:szCs w:val="20"/>
        </w:rPr>
        <w:t xml:space="preserve">The Federal Government: </w:t>
      </w:r>
      <w:r w:rsidRPr="0002792B">
        <w:rPr>
          <w:rFonts w:ascii="Arial" w:hAnsi="Arial" w:cs="Arial"/>
          <w:sz w:val="20"/>
          <w:szCs w:val="20"/>
        </w:rPr>
        <w:t>Reorganizing the institutional framework, increasing agricultural production through increased budgetary allocation and promotion of necessary developmental, supportive and service oriented activities to enhance production and productivity and marketing opportunities and collaboration with State and Local Governments for effective agricultural extension delivery.</w:t>
      </w:r>
    </w:p>
    <w:p w:rsidR="002659E6" w:rsidRPr="0002792B" w:rsidRDefault="002659E6" w:rsidP="006D01EE">
      <w:pPr>
        <w:autoSpaceDE w:val="0"/>
        <w:autoSpaceDN w:val="0"/>
        <w:adjustRightInd w:val="0"/>
        <w:spacing w:after="120" w:line="240" w:lineRule="auto"/>
        <w:rPr>
          <w:rFonts w:ascii="Arial" w:hAnsi="Arial" w:cs="Arial"/>
          <w:sz w:val="20"/>
          <w:szCs w:val="20"/>
        </w:rPr>
      </w:pPr>
      <w:r w:rsidRPr="0002792B">
        <w:rPr>
          <w:rFonts w:ascii="Arial" w:hAnsi="Arial" w:cs="Arial"/>
          <w:b/>
          <w:bCs/>
          <w:sz w:val="20"/>
          <w:szCs w:val="20"/>
        </w:rPr>
        <w:t xml:space="preserve">State Governments: </w:t>
      </w:r>
      <w:r w:rsidRPr="0002792B">
        <w:rPr>
          <w:rFonts w:ascii="Arial" w:hAnsi="Arial" w:cs="Arial"/>
          <w:sz w:val="20"/>
          <w:szCs w:val="20"/>
        </w:rPr>
        <w:t>Promotion of primary production of all items of agricultural produce, training and manpower development, ensuring a variable agricultural extension delivery service and promotion of appropriate institutions for administering credits to sm</w:t>
      </w:r>
      <w:r w:rsidR="008966C0">
        <w:rPr>
          <w:rFonts w:ascii="Arial" w:hAnsi="Arial" w:cs="Arial"/>
          <w:sz w:val="20"/>
          <w:szCs w:val="20"/>
        </w:rPr>
        <w:t>all</w:t>
      </w:r>
      <w:r w:rsidRPr="0002792B">
        <w:rPr>
          <w:rFonts w:ascii="Arial" w:hAnsi="Arial" w:cs="Arial"/>
          <w:sz w:val="20"/>
          <w:szCs w:val="20"/>
        </w:rPr>
        <w:t>holder</w:t>
      </w:r>
      <w:r w:rsidR="008966C0">
        <w:rPr>
          <w:rFonts w:ascii="Arial" w:hAnsi="Arial" w:cs="Arial"/>
          <w:sz w:val="20"/>
          <w:szCs w:val="20"/>
        </w:rPr>
        <w:t>s</w:t>
      </w:r>
      <w:r w:rsidRPr="0002792B">
        <w:rPr>
          <w:rFonts w:ascii="Arial" w:hAnsi="Arial" w:cs="Arial"/>
          <w:sz w:val="20"/>
          <w:szCs w:val="20"/>
        </w:rPr>
        <w:t>.</w:t>
      </w:r>
    </w:p>
    <w:p w:rsidR="002659E6" w:rsidRPr="0002792B" w:rsidRDefault="002659E6" w:rsidP="006D01EE">
      <w:pPr>
        <w:autoSpaceDE w:val="0"/>
        <w:autoSpaceDN w:val="0"/>
        <w:adjustRightInd w:val="0"/>
        <w:spacing w:after="120" w:line="240" w:lineRule="auto"/>
        <w:rPr>
          <w:rFonts w:ascii="Arial" w:hAnsi="Arial" w:cs="Arial"/>
          <w:sz w:val="20"/>
          <w:szCs w:val="20"/>
        </w:rPr>
      </w:pPr>
      <w:r w:rsidRPr="0002792B">
        <w:rPr>
          <w:rFonts w:ascii="Arial" w:hAnsi="Arial" w:cs="Arial"/>
          <w:b/>
          <w:bCs/>
          <w:sz w:val="20"/>
          <w:szCs w:val="20"/>
        </w:rPr>
        <w:t xml:space="preserve">Local Government: </w:t>
      </w:r>
      <w:r w:rsidRPr="0002792B">
        <w:rPr>
          <w:rFonts w:ascii="Arial" w:hAnsi="Arial" w:cs="Arial"/>
          <w:sz w:val="20"/>
          <w:szCs w:val="20"/>
        </w:rPr>
        <w:t>Increasing positioning to take over progressively the responsibilities of the state government.</w:t>
      </w:r>
    </w:p>
    <w:p w:rsidR="00A55A2C" w:rsidRPr="00A55A2C" w:rsidRDefault="00A55A2C" w:rsidP="00A55A2C">
      <w:pPr>
        <w:pStyle w:val="ListParagraph"/>
        <w:spacing w:after="0" w:line="240" w:lineRule="auto"/>
        <w:ind w:left="0"/>
        <w:rPr>
          <w:rFonts w:ascii="Arial" w:hAnsi="Arial" w:cs="Arial"/>
          <w:sz w:val="20"/>
          <w:szCs w:val="20"/>
        </w:rPr>
      </w:pPr>
      <w:r w:rsidRPr="00A55A2C">
        <w:rPr>
          <w:rFonts w:ascii="Arial" w:hAnsi="Arial" w:cs="Arial"/>
          <w:sz w:val="20"/>
          <w:szCs w:val="20"/>
        </w:rPr>
        <w:t>The Nigerian Agricultural Extension Research Liaison Services (NAERLS) has a national mandate to conduct research on agricultural extension services and the communication of innovations. The institute has produced many illustrated and easy-to-read manuals on many different topics, with translations in the major Nigerian languages.  It could be a good resource in the preparation of useful manuals on soil health management.</w:t>
      </w:r>
    </w:p>
    <w:p w:rsidR="0069286C" w:rsidRDefault="0069286C" w:rsidP="006D01EE">
      <w:pPr>
        <w:spacing w:after="120" w:line="240" w:lineRule="auto"/>
        <w:rPr>
          <w:rFonts w:ascii="Arial" w:hAnsi="Arial" w:cs="Arial"/>
          <w:b/>
          <w:color w:val="92D050"/>
          <w:sz w:val="24"/>
          <w:szCs w:val="24"/>
        </w:rPr>
      </w:pPr>
    </w:p>
    <w:p w:rsidR="002659E6" w:rsidRDefault="002659E6" w:rsidP="006D01EE">
      <w:pPr>
        <w:spacing w:after="120" w:line="240" w:lineRule="auto"/>
        <w:rPr>
          <w:rFonts w:ascii="Arial" w:hAnsi="Arial" w:cs="Arial"/>
          <w:b/>
          <w:color w:val="92D050"/>
          <w:sz w:val="24"/>
          <w:szCs w:val="24"/>
        </w:rPr>
      </w:pPr>
      <w:r w:rsidRPr="00D1631E">
        <w:rPr>
          <w:rFonts w:ascii="Arial" w:hAnsi="Arial" w:cs="Arial"/>
          <w:b/>
          <w:color w:val="92D050"/>
          <w:sz w:val="24"/>
          <w:szCs w:val="24"/>
        </w:rPr>
        <w:t>The</w:t>
      </w:r>
      <w:r w:rsidR="00EB3A98">
        <w:rPr>
          <w:rFonts w:ascii="Arial" w:hAnsi="Arial" w:cs="Arial"/>
          <w:b/>
          <w:color w:val="92D050"/>
          <w:sz w:val="24"/>
          <w:szCs w:val="24"/>
        </w:rPr>
        <w:t xml:space="preserve"> </w:t>
      </w:r>
      <w:r w:rsidRPr="00B56DD9">
        <w:rPr>
          <w:rFonts w:ascii="Arial" w:hAnsi="Arial" w:cs="Arial"/>
          <w:b/>
          <w:color w:val="92D050"/>
          <w:sz w:val="24"/>
          <w:szCs w:val="24"/>
        </w:rPr>
        <w:t>importance of the private sector</w:t>
      </w:r>
    </w:p>
    <w:p w:rsidR="007C5592" w:rsidRPr="00760F87" w:rsidRDefault="007C5592" w:rsidP="007C5592">
      <w:pPr>
        <w:pStyle w:val="TableParagraph"/>
        <w:tabs>
          <w:tab w:val="left" w:pos="5812"/>
        </w:tabs>
        <w:kinsoku w:val="0"/>
        <w:overflowPunct w:val="0"/>
        <w:spacing w:line="274" w:lineRule="exact"/>
        <w:rPr>
          <w:rFonts w:ascii="Arial" w:hAnsi="Arial"/>
          <w:sz w:val="20"/>
          <w:szCs w:val="20"/>
        </w:rPr>
      </w:pPr>
      <w:r w:rsidRPr="0069286C">
        <w:rPr>
          <w:rFonts w:ascii="Arial" w:hAnsi="Arial" w:cs="Calibri"/>
          <w:spacing w:val="-1"/>
          <w:sz w:val="20"/>
          <w:szCs w:val="20"/>
        </w:rPr>
        <w:t>F</w:t>
      </w:r>
      <w:r w:rsidRPr="0069286C">
        <w:rPr>
          <w:rFonts w:ascii="Arial" w:hAnsi="Arial" w:cs="Calibri"/>
          <w:sz w:val="20"/>
          <w:szCs w:val="20"/>
        </w:rPr>
        <w:t>e</w:t>
      </w:r>
      <w:r w:rsidRPr="0069286C">
        <w:rPr>
          <w:rFonts w:ascii="Arial" w:hAnsi="Arial" w:cs="Calibri"/>
          <w:spacing w:val="-1"/>
          <w:sz w:val="20"/>
          <w:szCs w:val="20"/>
        </w:rPr>
        <w:t>r</w:t>
      </w:r>
      <w:r w:rsidRPr="0069286C">
        <w:rPr>
          <w:rFonts w:ascii="Arial" w:hAnsi="Arial" w:cs="Calibri"/>
          <w:sz w:val="20"/>
          <w:szCs w:val="20"/>
        </w:rPr>
        <w:t>t</w:t>
      </w:r>
      <w:r w:rsidRPr="0069286C">
        <w:rPr>
          <w:rFonts w:ascii="Arial" w:hAnsi="Arial" w:cs="Calibri"/>
          <w:spacing w:val="-1"/>
          <w:sz w:val="20"/>
          <w:szCs w:val="20"/>
        </w:rPr>
        <w:t>ili</w:t>
      </w:r>
      <w:r w:rsidRPr="0069286C">
        <w:rPr>
          <w:rFonts w:ascii="Arial" w:hAnsi="Arial" w:cs="Calibri"/>
          <w:spacing w:val="-2"/>
          <w:sz w:val="20"/>
          <w:szCs w:val="20"/>
        </w:rPr>
        <w:t>z</w:t>
      </w:r>
      <w:r w:rsidRPr="0069286C">
        <w:rPr>
          <w:rFonts w:ascii="Arial" w:hAnsi="Arial" w:cs="Calibri"/>
          <w:sz w:val="20"/>
          <w:szCs w:val="20"/>
        </w:rPr>
        <w:t>er</w:t>
      </w:r>
      <w:r w:rsidRPr="0069286C">
        <w:rPr>
          <w:rFonts w:ascii="Arial" w:hAnsi="Arial" w:cs="Calibri"/>
          <w:spacing w:val="-1"/>
          <w:sz w:val="20"/>
          <w:szCs w:val="20"/>
        </w:rPr>
        <w:t xml:space="preserve"> consumption </w:t>
      </w:r>
      <w:r w:rsidRPr="0069286C">
        <w:rPr>
          <w:rFonts w:ascii="Arial" w:hAnsi="Arial" w:cs="Calibri"/>
          <w:spacing w:val="-3"/>
          <w:sz w:val="20"/>
          <w:szCs w:val="20"/>
        </w:rPr>
        <w:t>(</w:t>
      </w:r>
      <w:r w:rsidRPr="0069286C">
        <w:rPr>
          <w:rFonts w:ascii="Arial" w:hAnsi="Arial" w:cs="Calibri"/>
          <w:spacing w:val="1"/>
          <w:sz w:val="20"/>
          <w:szCs w:val="20"/>
        </w:rPr>
        <w:t>kg per ha of arable land</w:t>
      </w:r>
      <w:r w:rsidRPr="0069286C">
        <w:rPr>
          <w:rFonts w:ascii="Arial" w:hAnsi="Arial" w:cs="Calibri"/>
          <w:sz w:val="20"/>
          <w:szCs w:val="20"/>
        </w:rPr>
        <w:t>)(%)</w:t>
      </w:r>
      <w:r w:rsidRPr="0069286C">
        <w:rPr>
          <w:rStyle w:val="FootnoteReference"/>
          <w:rFonts w:ascii="Arial" w:hAnsi="Arial" w:cs="Calibri"/>
          <w:sz w:val="20"/>
          <w:szCs w:val="20"/>
        </w:rPr>
        <w:footnoteReference w:id="20"/>
      </w:r>
      <w:r w:rsidRPr="0069286C">
        <w:rPr>
          <w:rFonts w:ascii="Arial" w:hAnsi="Arial" w:cs="Calibri"/>
          <w:i/>
          <w:sz w:val="20"/>
          <w:szCs w:val="20"/>
        </w:rPr>
        <w:t>(2012)</w:t>
      </w:r>
      <w:r>
        <w:rPr>
          <w:rFonts w:ascii="Arial" w:hAnsi="Arial"/>
          <w:sz w:val="20"/>
          <w:szCs w:val="20"/>
        </w:rPr>
        <w:tab/>
      </w:r>
      <w:r w:rsidRPr="00760F87">
        <w:rPr>
          <w:rFonts w:ascii="Arial" w:hAnsi="Arial"/>
          <w:sz w:val="20"/>
          <w:szCs w:val="20"/>
        </w:rPr>
        <w:t>4.8</w:t>
      </w:r>
    </w:p>
    <w:p w:rsidR="007C5592" w:rsidRPr="0002792B" w:rsidRDefault="007C5592" w:rsidP="006D01EE">
      <w:pPr>
        <w:spacing w:after="120" w:line="240" w:lineRule="auto"/>
        <w:rPr>
          <w:rFonts w:ascii="Arial" w:hAnsi="Arial" w:cs="Arial"/>
          <w:b/>
          <w:sz w:val="20"/>
          <w:szCs w:val="20"/>
        </w:rPr>
      </w:pPr>
    </w:p>
    <w:p w:rsidR="002659E6" w:rsidRPr="00B56DD9" w:rsidRDefault="002659E6" w:rsidP="006D01EE">
      <w:pPr>
        <w:spacing w:after="120" w:line="240" w:lineRule="auto"/>
        <w:rPr>
          <w:rFonts w:ascii="Arial" w:eastAsia="Times New Roman" w:hAnsi="Arial" w:cs="Arial"/>
          <w:sz w:val="20"/>
          <w:szCs w:val="20"/>
          <w:shd w:val="clear" w:color="auto" w:fill="FFFFFF"/>
          <w:lang w:val="en-GB"/>
        </w:rPr>
      </w:pPr>
      <w:r w:rsidRPr="00B56DD9">
        <w:rPr>
          <w:rFonts w:ascii="Arial" w:eastAsia="Times New Roman" w:hAnsi="Arial" w:cs="Arial"/>
          <w:sz w:val="20"/>
          <w:szCs w:val="20"/>
          <w:shd w:val="clear" w:color="auto" w:fill="FFFFFF"/>
          <w:lang w:val="en-GB"/>
        </w:rPr>
        <w:t>As a key business sector in Nigeria, agriculture presents tremendous opportunities for the</w:t>
      </w:r>
      <w:r>
        <w:rPr>
          <w:rFonts w:ascii="Arial" w:eastAsia="Times New Roman" w:hAnsi="Arial" w:cs="Arial"/>
          <w:sz w:val="20"/>
          <w:szCs w:val="20"/>
          <w:shd w:val="clear" w:color="auto" w:fill="FFFFFF"/>
          <w:lang w:val="en-GB"/>
        </w:rPr>
        <w:t xml:space="preserve"> emergence of small and medium-</w:t>
      </w:r>
      <w:r w:rsidRPr="00B56DD9">
        <w:rPr>
          <w:rFonts w:ascii="Arial" w:eastAsia="Times New Roman" w:hAnsi="Arial" w:cs="Arial"/>
          <w:sz w:val="20"/>
          <w:szCs w:val="20"/>
          <w:shd w:val="clear" w:color="auto" w:fill="FFFFFF"/>
          <w:lang w:val="en-GB"/>
        </w:rPr>
        <w:t>sized enterprises that can create value and jobs across critical value chains. The sector requires the active engagement of the private sector to provide financing, support systems—including equipment, processing, transportation, distribution and marketing support</w:t>
      </w:r>
      <w:r w:rsidRPr="00B56DD9">
        <w:rPr>
          <w:rStyle w:val="FootnoteReference"/>
          <w:rFonts w:ascii="Arial" w:eastAsia="Times New Roman" w:hAnsi="Arial" w:cs="Arial"/>
          <w:sz w:val="20"/>
          <w:szCs w:val="20"/>
          <w:shd w:val="clear" w:color="auto" w:fill="FFFFFF"/>
          <w:lang w:val="en-GB"/>
        </w:rPr>
        <w:footnoteReference w:id="21"/>
      </w:r>
      <w:r w:rsidRPr="00B56DD9">
        <w:rPr>
          <w:rFonts w:ascii="Arial" w:eastAsia="Times New Roman" w:hAnsi="Arial" w:cs="Arial"/>
          <w:sz w:val="20"/>
          <w:szCs w:val="20"/>
          <w:shd w:val="clear" w:color="auto" w:fill="FFFFFF"/>
          <w:lang w:val="en-GB"/>
        </w:rPr>
        <w:t>.</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Dr</w:t>
      </w:r>
      <w:r w:rsidR="00120E26">
        <w:rPr>
          <w:rFonts w:ascii="Arial" w:hAnsi="Arial" w:cs="Arial"/>
          <w:sz w:val="20"/>
          <w:szCs w:val="20"/>
        </w:rPr>
        <w:t xml:space="preserve"> </w:t>
      </w:r>
      <w:proofErr w:type="spellStart"/>
      <w:r w:rsidRPr="0002792B">
        <w:rPr>
          <w:rFonts w:ascii="Arial" w:hAnsi="Arial" w:cs="Arial"/>
          <w:sz w:val="20"/>
          <w:szCs w:val="20"/>
        </w:rPr>
        <w:t>Akinwumi</w:t>
      </w:r>
      <w:proofErr w:type="spellEnd"/>
      <w:r w:rsidR="00120E26">
        <w:rPr>
          <w:rFonts w:ascii="Arial" w:hAnsi="Arial" w:cs="Arial"/>
          <w:sz w:val="20"/>
          <w:szCs w:val="20"/>
        </w:rPr>
        <w:t xml:space="preserve"> </w:t>
      </w:r>
      <w:proofErr w:type="spellStart"/>
      <w:r w:rsidRPr="0002792B">
        <w:rPr>
          <w:rFonts w:ascii="Arial" w:hAnsi="Arial" w:cs="Arial"/>
          <w:sz w:val="20"/>
          <w:szCs w:val="20"/>
        </w:rPr>
        <w:t>Adesina</w:t>
      </w:r>
      <w:proofErr w:type="spellEnd"/>
      <w:r w:rsidRPr="0002792B">
        <w:rPr>
          <w:rFonts w:ascii="Arial" w:hAnsi="Arial" w:cs="Arial"/>
          <w:sz w:val="20"/>
          <w:szCs w:val="20"/>
        </w:rPr>
        <w:t>, minister of agriculture and rural development</w:t>
      </w:r>
      <w:r>
        <w:rPr>
          <w:rFonts w:ascii="Arial" w:hAnsi="Arial" w:cs="Arial"/>
          <w:sz w:val="20"/>
          <w:szCs w:val="20"/>
        </w:rPr>
        <w:t>,</w:t>
      </w:r>
      <w:r w:rsidRPr="0002792B">
        <w:rPr>
          <w:rFonts w:ascii="Arial" w:hAnsi="Arial" w:cs="Arial"/>
          <w:sz w:val="20"/>
          <w:szCs w:val="20"/>
        </w:rPr>
        <w:t xml:space="preserve"> stated in November 2012 that ‘Big Government’ in Nigeria has stopped crowding out the private sector in Nigeria. Instead they have an investment-driven strategic partnership approach with the private sector.</w:t>
      </w:r>
    </w:p>
    <w:p w:rsidR="002659E6" w:rsidRPr="00B56DD9" w:rsidRDefault="002659E6" w:rsidP="00120E26">
      <w:pPr>
        <w:shd w:val="clear" w:color="auto" w:fill="FFFFFF"/>
        <w:spacing w:before="120" w:after="120" w:line="240" w:lineRule="auto"/>
        <w:textAlignment w:val="baseline"/>
        <w:rPr>
          <w:rFonts w:ascii="Arial" w:hAnsi="Arial" w:cs="Arial"/>
          <w:sz w:val="20"/>
          <w:szCs w:val="20"/>
          <w:lang w:val="en-GB"/>
        </w:rPr>
      </w:pPr>
      <w:r w:rsidRPr="00B56DD9">
        <w:rPr>
          <w:rFonts w:ascii="Arial" w:hAnsi="Arial" w:cs="Arial"/>
          <w:sz w:val="20"/>
          <w:szCs w:val="20"/>
          <w:lang w:val="en-GB"/>
        </w:rPr>
        <w:lastRenderedPageBreak/>
        <w:t xml:space="preserve">Speaking at a session of the 22nd Summit of African Union Heads of State and Government in January 2014, Nigeria’s president, </w:t>
      </w:r>
      <w:proofErr w:type="spellStart"/>
      <w:r w:rsidRPr="00B56DD9">
        <w:rPr>
          <w:rFonts w:ascii="Arial" w:hAnsi="Arial" w:cs="Arial"/>
          <w:sz w:val="20"/>
          <w:szCs w:val="20"/>
          <w:lang w:val="en-GB"/>
        </w:rPr>
        <w:t>Goodluck</w:t>
      </w:r>
      <w:proofErr w:type="spellEnd"/>
      <w:r w:rsidRPr="00B56DD9">
        <w:rPr>
          <w:rFonts w:ascii="Arial" w:hAnsi="Arial" w:cs="Arial"/>
          <w:sz w:val="20"/>
          <w:szCs w:val="20"/>
          <w:lang w:val="en-GB"/>
        </w:rPr>
        <w:t xml:space="preserve"> Jonathan, announced $11 billion (N1.7 trillion) had been invested in Nigeria’s agricultural sector by private investors and development partners since the Federal Government launched the country’s Agricultural Transformation Agenda in 2011. He stated this was due to Nigeria’s decision to treat agriculture as a viable business and not “a development programme”.</w:t>
      </w:r>
    </w:p>
    <w:p w:rsidR="002659E6" w:rsidRDefault="002659E6" w:rsidP="006D01EE">
      <w:pPr>
        <w:spacing w:after="120" w:line="240" w:lineRule="auto"/>
        <w:rPr>
          <w:rFonts w:ascii="Arial" w:eastAsia="Times New Roman" w:hAnsi="Arial" w:cs="Arial"/>
          <w:sz w:val="20"/>
          <w:szCs w:val="20"/>
          <w:shd w:val="clear" w:color="auto" w:fill="FFFFFF"/>
          <w:lang w:val="en-GB"/>
        </w:rPr>
      </w:pPr>
      <w:r w:rsidRPr="00B56DD9">
        <w:rPr>
          <w:rFonts w:ascii="Arial" w:eastAsia="Times New Roman" w:hAnsi="Arial" w:cs="Arial"/>
          <w:sz w:val="20"/>
          <w:szCs w:val="20"/>
          <w:shd w:val="clear" w:color="auto" w:fill="FFFFFF"/>
          <w:lang w:val="en-GB"/>
        </w:rPr>
        <w:t xml:space="preserve">Companies such as </w:t>
      </w:r>
      <w:proofErr w:type="spellStart"/>
      <w:r w:rsidRPr="00B56DD9">
        <w:rPr>
          <w:rFonts w:ascii="Arial" w:eastAsia="Times New Roman" w:hAnsi="Arial" w:cs="Arial"/>
          <w:sz w:val="20"/>
          <w:szCs w:val="20"/>
          <w:shd w:val="clear" w:color="auto" w:fill="FFFFFF"/>
          <w:lang w:val="en-GB"/>
        </w:rPr>
        <w:t>Olam</w:t>
      </w:r>
      <w:proofErr w:type="spellEnd"/>
      <w:r w:rsidRPr="00B56DD9">
        <w:rPr>
          <w:rFonts w:ascii="Arial" w:eastAsia="Times New Roman" w:hAnsi="Arial" w:cs="Arial"/>
          <w:sz w:val="20"/>
          <w:szCs w:val="20"/>
          <w:shd w:val="clear" w:color="auto" w:fill="FFFFFF"/>
          <w:lang w:val="en-GB"/>
        </w:rPr>
        <w:t xml:space="preserve">, Nestle and Nigerian Breweries successfully source their produce from smallholder farmers and support growth across the value chains. In the case of </w:t>
      </w:r>
      <w:proofErr w:type="spellStart"/>
      <w:r w:rsidRPr="00B56DD9">
        <w:rPr>
          <w:rFonts w:ascii="Arial" w:eastAsia="Times New Roman" w:hAnsi="Arial" w:cs="Arial"/>
          <w:sz w:val="20"/>
          <w:szCs w:val="20"/>
          <w:shd w:val="clear" w:color="auto" w:fill="FFFFFF"/>
          <w:lang w:val="en-GB"/>
        </w:rPr>
        <w:t>Olam</w:t>
      </w:r>
      <w:proofErr w:type="spellEnd"/>
      <w:r w:rsidRPr="00B56DD9">
        <w:rPr>
          <w:rFonts w:ascii="Arial" w:eastAsia="Times New Roman" w:hAnsi="Arial" w:cs="Arial"/>
          <w:sz w:val="20"/>
          <w:szCs w:val="20"/>
          <w:shd w:val="clear" w:color="auto" w:fill="FFFFFF"/>
          <w:lang w:val="en-GB"/>
        </w:rPr>
        <w:t xml:space="preserve">, through support from USAID Markets, it has been demonstrated that coordinated and targeted interventions can generate significant increases in yields. By organising smallholder farmers into groups, providing training, extension services and inputs on credit, the farmers experienced significant increases in yields, resulting in greater supply of rice for the </w:t>
      </w:r>
      <w:proofErr w:type="spellStart"/>
      <w:r w:rsidRPr="00B56DD9">
        <w:rPr>
          <w:rFonts w:ascii="Arial" w:eastAsia="Times New Roman" w:hAnsi="Arial" w:cs="Arial"/>
          <w:sz w:val="20"/>
          <w:szCs w:val="20"/>
          <w:shd w:val="clear" w:color="auto" w:fill="FFFFFF"/>
          <w:lang w:val="en-GB"/>
        </w:rPr>
        <w:t>Olam</w:t>
      </w:r>
      <w:proofErr w:type="spellEnd"/>
      <w:r w:rsidRPr="00B56DD9">
        <w:rPr>
          <w:rFonts w:ascii="Arial" w:eastAsia="Times New Roman" w:hAnsi="Arial" w:cs="Arial"/>
          <w:sz w:val="20"/>
          <w:szCs w:val="20"/>
          <w:shd w:val="clear" w:color="auto" w:fill="FFFFFF"/>
          <w:lang w:val="en-GB"/>
        </w:rPr>
        <w:t xml:space="preserve"> processing facility in Benue state, Nigeria</w:t>
      </w:r>
      <w:r w:rsidRPr="00B56DD9">
        <w:rPr>
          <w:rStyle w:val="FootnoteReference"/>
          <w:rFonts w:ascii="Arial" w:eastAsia="Times New Roman" w:hAnsi="Arial" w:cs="Arial"/>
          <w:sz w:val="20"/>
          <w:szCs w:val="20"/>
          <w:shd w:val="clear" w:color="auto" w:fill="FFFFFF"/>
          <w:lang w:val="en-GB"/>
        </w:rPr>
        <w:footnoteReference w:id="22"/>
      </w:r>
      <w:r w:rsidRPr="00B56DD9">
        <w:rPr>
          <w:rFonts w:ascii="Arial" w:eastAsia="Times New Roman" w:hAnsi="Arial" w:cs="Arial"/>
          <w:sz w:val="20"/>
          <w:szCs w:val="20"/>
          <w:shd w:val="clear" w:color="auto" w:fill="FFFFFF"/>
          <w:lang w:val="en-GB"/>
        </w:rPr>
        <w:t>.</w:t>
      </w:r>
    </w:p>
    <w:p w:rsidR="002659E6" w:rsidRDefault="002659E6" w:rsidP="00120E26">
      <w:pPr>
        <w:spacing w:before="240" w:after="0" w:line="240" w:lineRule="auto"/>
        <w:rPr>
          <w:rFonts w:ascii="Arial" w:hAnsi="Arial" w:cs="Arial"/>
          <w:b/>
          <w:color w:val="92D050"/>
          <w:sz w:val="24"/>
          <w:szCs w:val="24"/>
        </w:rPr>
      </w:pPr>
      <w:r w:rsidRPr="006C2B13">
        <w:rPr>
          <w:rFonts w:ascii="Arial" w:hAnsi="Arial" w:cs="Arial"/>
          <w:b/>
          <w:color w:val="92D050"/>
          <w:sz w:val="24"/>
          <w:szCs w:val="24"/>
        </w:rPr>
        <w:t>Media penetratio</w:t>
      </w:r>
      <w:r>
        <w:rPr>
          <w:rFonts w:ascii="Arial" w:hAnsi="Arial" w:cs="Arial"/>
          <w:b/>
          <w:color w:val="92D050"/>
          <w:sz w:val="24"/>
          <w:szCs w:val="24"/>
        </w:rPr>
        <w:t>n</w:t>
      </w:r>
    </w:p>
    <w:p w:rsidR="00B55E07" w:rsidRPr="002F2CFF" w:rsidRDefault="00B55E07" w:rsidP="00B55E07">
      <w:pPr>
        <w:pStyle w:val="TableParagraph"/>
        <w:kinsoku w:val="0"/>
        <w:overflowPunct w:val="0"/>
        <w:ind w:left="142" w:hanging="102"/>
        <w:rPr>
          <w:rFonts w:ascii="Arial" w:hAnsi="Arial" w:cs="Calibri"/>
          <w:b/>
          <w:i/>
          <w:sz w:val="20"/>
          <w:szCs w:val="20"/>
        </w:rPr>
      </w:pPr>
      <w:r w:rsidRPr="002F2CFF">
        <w:rPr>
          <w:rFonts w:ascii="Arial" w:hAnsi="Arial" w:cs="Calibri"/>
          <w:b/>
          <w:i/>
          <w:sz w:val="20"/>
          <w:szCs w:val="20"/>
        </w:rPr>
        <w:t xml:space="preserve">Literacy rates (% of </w:t>
      </w:r>
      <w:proofErr w:type="gramStart"/>
      <w:r w:rsidRPr="002F2CFF">
        <w:rPr>
          <w:rFonts w:ascii="Arial" w:hAnsi="Arial" w:cs="Calibri"/>
          <w:b/>
          <w:i/>
          <w:sz w:val="20"/>
          <w:szCs w:val="20"/>
        </w:rPr>
        <w:t>population)</w:t>
      </w:r>
      <w:r w:rsidR="00120E26" w:rsidRPr="00120E26">
        <w:rPr>
          <w:rFonts w:ascii="Arial" w:hAnsi="Arial" w:cs="Calibri"/>
          <w:sz w:val="20"/>
          <w:szCs w:val="20"/>
          <w:vertAlign w:val="superscript"/>
        </w:rPr>
        <w:t>1</w:t>
      </w:r>
      <w:proofErr w:type="gramEnd"/>
    </w:p>
    <w:p w:rsidR="00B55E07" w:rsidRPr="002F2CFF" w:rsidRDefault="007C5592" w:rsidP="007C5592">
      <w:pPr>
        <w:pStyle w:val="TableParagraph"/>
        <w:tabs>
          <w:tab w:val="left" w:pos="5812"/>
        </w:tabs>
        <w:kinsoku w:val="0"/>
        <w:overflowPunct w:val="0"/>
        <w:ind w:left="709" w:hanging="669"/>
        <w:rPr>
          <w:rFonts w:ascii="Arial" w:hAnsi="Arial"/>
          <w:sz w:val="20"/>
          <w:szCs w:val="20"/>
        </w:rPr>
      </w:pPr>
      <w:r w:rsidRPr="002F2CFF">
        <w:rPr>
          <w:rFonts w:ascii="Arial" w:hAnsi="Arial" w:cs="Calibri"/>
          <w:sz w:val="20"/>
          <w:szCs w:val="20"/>
        </w:rPr>
        <w:tab/>
      </w:r>
      <w:r w:rsidR="00B55E07" w:rsidRPr="002F2CFF">
        <w:rPr>
          <w:rFonts w:ascii="Arial" w:hAnsi="Arial" w:cs="Calibri"/>
          <w:sz w:val="20"/>
          <w:szCs w:val="20"/>
        </w:rPr>
        <w:t>L</w:t>
      </w:r>
      <w:r w:rsidR="00B55E07" w:rsidRPr="002F2CFF">
        <w:rPr>
          <w:rFonts w:ascii="Arial" w:hAnsi="Arial" w:cs="Calibri"/>
          <w:spacing w:val="-1"/>
          <w:sz w:val="20"/>
          <w:szCs w:val="20"/>
        </w:rPr>
        <w:t>i</w:t>
      </w:r>
      <w:r w:rsidR="00B55E07" w:rsidRPr="002F2CFF">
        <w:rPr>
          <w:rFonts w:ascii="Arial" w:hAnsi="Arial" w:cs="Calibri"/>
          <w:sz w:val="20"/>
          <w:szCs w:val="20"/>
        </w:rPr>
        <w:t>te</w:t>
      </w:r>
      <w:r w:rsidR="00B55E07" w:rsidRPr="002F2CFF">
        <w:rPr>
          <w:rFonts w:ascii="Arial" w:hAnsi="Arial" w:cs="Calibri"/>
          <w:spacing w:val="-1"/>
          <w:sz w:val="20"/>
          <w:szCs w:val="20"/>
        </w:rPr>
        <w:t>ra</w:t>
      </w:r>
      <w:r w:rsidR="00B55E07" w:rsidRPr="002F2CFF">
        <w:rPr>
          <w:rFonts w:ascii="Arial" w:hAnsi="Arial" w:cs="Calibri"/>
          <w:spacing w:val="-3"/>
          <w:sz w:val="20"/>
          <w:szCs w:val="20"/>
        </w:rPr>
        <w:t>c</w:t>
      </w:r>
      <w:r w:rsidR="00B55E07" w:rsidRPr="002F2CFF">
        <w:rPr>
          <w:rFonts w:ascii="Arial" w:hAnsi="Arial" w:cs="Calibri"/>
          <w:sz w:val="20"/>
          <w:szCs w:val="20"/>
        </w:rPr>
        <w:t>y</w:t>
      </w:r>
      <w:r w:rsidR="00120E26">
        <w:rPr>
          <w:rFonts w:ascii="Arial" w:hAnsi="Arial" w:cs="Calibri"/>
          <w:sz w:val="20"/>
          <w:szCs w:val="20"/>
        </w:rPr>
        <w:t xml:space="preserve"> </w:t>
      </w:r>
      <w:r w:rsidR="00B55E07" w:rsidRPr="002F2CFF">
        <w:rPr>
          <w:rFonts w:ascii="Arial" w:hAnsi="Arial" w:cs="Calibri"/>
          <w:spacing w:val="-3"/>
          <w:sz w:val="20"/>
          <w:szCs w:val="20"/>
        </w:rPr>
        <w:t>R</w:t>
      </w:r>
      <w:r w:rsidR="00B55E07" w:rsidRPr="002F2CFF">
        <w:rPr>
          <w:rFonts w:ascii="Arial" w:hAnsi="Arial" w:cs="Calibri"/>
          <w:spacing w:val="-1"/>
          <w:sz w:val="20"/>
          <w:szCs w:val="20"/>
        </w:rPr>
        <w:t>a</w:t>
      </w:r>
      <w:r w:rsidR="00B55E07" w:rsidRPr="002F2CFF">
        <w:rPr>
          <w:rFonts w:ascii="Arial" w:hAnsi="Arial" w:cs="Calibri"/>
          <w:sz w:val="20"/>
          <w:szCs w:val="20"/>
        </w:rPr>
        <w:t>te</w:t>
      </w:r>
      <w:r w:rsidR="00120E26">
        <w:rPr>
          <w:rFonts w:ascii="Arial" w:hAnsi="Arial" w:cs="Calibri"/>
          <w:sz w:val="20"/>
          <w:szCs w:val="20"/>
        </w:rPr>
        <w:t xml:space="preserve"> </w:t>
      </w:r>
      <w:r w:rsidRPr="002F2CFF">
        <w:rPr>
          <w:rFonts w:ascii="Arial" w:hAnsi="Arial"/>
          <w:sz w:val="20"/>
          <w:szCs w:val="20"/>
        </w:rPr>
        <w:t>(2010)</w:t>
      </w:r>
      <w:r w:rsidRPr="002F2CFF">
        <w:rPr>
          <w:rFonts w:ascii="Arial" w:hAnsi="Arial"/>
          <w:sz w:val="20"/>
          <w:szCs w:val="20"/>
        </w:rPr>
        <w:tab/>
      </w:r>
      <w:r w:rsidR="00B55E07" w:rsidRPr="002F2CFF">
        <w:rPr>
          <w:rFonts w:ascii="Arial" w:hAnsi="Arial"/>
          <w:sz w:val="20"/>
          <w:szCs w:val="20"/>
        </w:rPr>
        <w:t>61.3</w:t>
      </w:r>
    </w:p>
    <w:p w:rsidR="00B55E07" w:rsidRPr="002F2CFF" w:rsidRDefault="00B55E07" w:rsidP="00B55E07">
      <w:pPr>
        <w:pStyle w:val="TableParagraph"/>
        <w:kinsoku w:val="0"/>
        <w:overflowPunct w:val="0"/>
        <w:ind w:left="142" w:hanging="102"/>
        <w:rPr>
          <w:rFonts w:ascii="Arial" w:hAnsi="Arial"/>
          <w:sz w:val="20"/>
          <w:szCs w:val="20"/>
        </w:rPr>
      </w:pPr>
      <w:r w:rsidRPr="002F2CFF">
        <w:rPr>
          <w:rFonts w:ascii="Arial" w:hAnsi="Arial" w:cs="Calibri"/>
          <w:sz w:val="20"/>
          <w:szCs w:val="20"/>
        </w:rPr>
        <w:tab/>
      </w:r>
      <w:r w:rsidRPr="002F2CFF">
        <w:rPr>
          <w:rFonts w:ascii="Arial" w:hAnsi="Arial" w:cs="Calibri"/>
          <w:sz w:val="20"/>
          <w:szCs w:val="20"/>
        </w:rPr>
        <w:tab/>
        <w:t>M</w:t>
      </w:r>
      <w:r w:rsidRPr="002F2CFF">
        <w:rPr>
          <w:rFonts w:ascii="Arial" w:hAnsi="Arial" w:cs="Calibri"/>
          <w:spacing w:val="-1"/>
          <w:sz w:val="20"/>
          <w:szCs w:val="20"/>
        </w:rPr>
        <w:t>al</w:t>
      </w:r>
      <w:r w:rsidRPr="002F2CFF">
        <w:rPr>
          <w:rFonts w:ascii="Arial" w:hAnsi="Arial" w:cs="Calibri"/>
          <w:sz w:val="20"/>
          <w:szCs w:val="20"/>
        </w:rPr>
        <w:t>e</w:t>
      </w:r>
      <w:r w:rsidR="00120E26">
        <w:rPr>
          <w:rFonts w:ascii="Arial" w:hAnsi="Arial" w:cs="Calibri"/>
          <w:sz w:val="20"/>
          <w:szCs w:val="20"/>
        </w:rPr>
        <w:t xml:space="preserve"> </w:t>
      </w:r>
      <w:r w:rsidRPr="002F2CFF">
        <w:rPr>
          <w:rFonts w:ascii="Arial" w:hAnsi="Arial" w:cs="Calibri"/>
          <w:spacing w:val="-1"/>
          <w:sz w:val="20"/>
          <w:szCs w:val="20"/>
        </w:rPr>
        <w:t>Adul</w:t>
      </w:r>
      <w:r w:rsidRPr="002F2CFF">
        <w:rPr>
          <w:rFonts w:ascii="Arial" w:hAnsi="Arial" w:cs="Calibri"/>
          <w:sz w:val="20"/>
          <w:szCs w:val="20"/>
        </w:rPr>
        <w:t>t</w:t>
      </w:r>
      <w:r w:rsidR="00120E26">
        <w:rPr>
          <w:rFonts w:ascii="Arial" w:hAnsi="Arial" w:cs="Calibri"/>
          <w:sz w:val="20"/>
          <w:szCs w:val="20"/>
        </w:rPr>
        <w:t xml:space="preserve"> </w:t>
      </w:r>
      <w:r w:rsidR="007C5592" w:rsidRPr="002F2CFF">
        <w:rPr>
          <w:rFonts w:ascii="Arial" w:hAnsi="Arial"/>
          <w:sz w:val="20"/>
          <w:szCs w:val="20"/>
        </w:rPr>
        <w:t>(2010)</w:t>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Pr="002F2CFF">
        <w:rPr>
          <w:rFonts w:ascii="Arial" w:hAnsi="Arial"/>
          <w:sz w:val="20"/>
          <w:szCs w:val="20"/>
        </w:rPr>
        <w:t>72.1</w:t>
      </w:r>
    </w:p>
    <w:p w:rsidR="00B55E07" w:rsidRPr="002F2CFF" w:rsidRDefault="00B55E07" w:rsidP="00B55E07">
      <w:pPr>
        <w:pStyle w:val="TableParagraph"/>
        <w:kinsoku w:val="0"/>
        <w:overflowPunct w:val="0"/>
        <w:ind w:left="142" w:hanging="102"/>
        <w:rPr>
          <w:rFonts w:ascii="Arial" w:hAnsi="Arial"/>
          <w:sz w:val="20"/>
          <w:szCs w:val="20"/>
        </w:rPr>
      </w:pPr>
      <w:r w:rsidRPr="002F2CFF">
        <w:rPr>
          <w:rFonts w:ascii="Arial" w:hAnsi="Arial" w:cs="Calibri"/>
          <w:spacing w:val="-1"/>
          <w:sz w:val="20"/>
          <w:szCs w:val="20"/>
        </w:rPr>
        <w:tab/>
      </w:r>
      <w:r w:rsidRPr="002F2CFF">
        <w:rPr>
          <w:rFonts w:ascii="Arial" w:hAnsi="Arial" w:cs="Calibri"/>
          <w:spacing w:val="-1"/>
          <w:sz w:val="20"/>
          <w:szCs w:val="20"/>
        </w:rPr>
        <w:tab/>
        <w:t>F</w:t>
      </w:r>
      <w:r w:rsidRPr="002F2CFF">
        <w:rPr>
          <w:rFonts w:ascii="Arial" w:hAnsi="Arial" w:cs="Calibri"/>
          <w:sz w:val="20"/>
          <w:szCs w:val="20"/>
        </w:rPr>
        <w:t>e</w:t>
      </w:r>
      <w:r w:rsidRPr="002F2CFF">
        <w:rPr>
          <w:rFonts w:ascii="Arial" w:hAnsi="Arial" w:cs="Calibri"/>
          <w:spacing w:val="1"/>
          <w:sz w:val="20"/>
          <w:szCs w:val="20"/>
        </w:rPr>
        <w:t>m</w:t>
      </w:r>
      <w:r w:rsidRPr="002F2CFF">
        <w:rPr>
          <w:rFonts w:ascii="Arial" w:hAnsi="Arial" w:cs="Calibri"/>
          <w:spacing w:val="-1"/>
          <w:sz w:val="20"/>
          <w:szCs w:val="20"/>
        </w:rPr>
        <w:t>al</w:t>
      </w:r>
      <w:r w:rsidRPr="002F2CFF">
        <w:rPr>
          <w:rFonts w:ascii="Arial" w:hAnsi="Arial" w:cs="Calibri"/>
          <w:sz w:val="20"/>
          <w:szCs w:val="20"/>
        </w:rPr>
        <w:t>e</w:t>
      </w:r>
      <w:r w:rsidR="00120E26">
        <w:rPr>
          <w:rFonts w:ascii="Arial" w:hAnsi="Arial" w:cs="Calibri"/>
          <w:sz w:val="20"/>
          <w:szCs w:val="20"/>
        </w:rPr>
        <w:t xml:space="preserve"> </w:t>
      </w:r>
      <w:r w:rsidRPr="002F2CFF">
        <w:rPr>
          <w:rFonts w:ascii="Arial" w:hAnsi="Arial" w:cs="Calibri"/>
          <w:spacing w:val="-1"/>
          <w:sz w:val="20"/>
          <w:szCs w:val="20"/>
        </w:rPr>
        <w:t>Adul</w:t>
      </w:r>
      <w:r w:rsidRPr="002F2CFF">
        <w:rPr>
          <w:rFonts w:ascii="Arial" w:hAnsi="Arial" w:cs="Calibri"/>
          <w:sz w:val="20"/>
          <w:szCs w:val="20"/>
        </w:rPr>
        <w:t>t</w:t>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Pr="002F2CFF">
        <w:rPr>
          <w:rFonts w:ascii="Arial" w:hAnsi="Arial"/>
          <w:sz w:val="20"/>
          <w:szCs w:val="20"/>
        </w:rPr>
        <w:t>50.4</w:t>
      </w:r>
    </w:p>
    <w:p w:rsidR="00B55E07" w:rsidRPr="002F2CFF" w:rsidRDefault="00B55E07" w:rsidP="00B55E07">
      <w:pPr>
        <w:pStyle w:val="Default"/>
        <w:ind w:left="142" w:hanging="102"/>
        <w:rPr>
          <w:rFonts w:ascii="Arial" w:hAnsi="Arial" w:cs="Times New Roman"/>
          <w:color w:val="auto"/>
          <w:sz w:val="20"/>
          <w:szCs w:val="20"/>
        </w:rPr>
      </w:pPr>
      <w:r w:rsidRPr="002F2CFF">
        <w:rPr>
          <w:rFonts w:ascii="Arial" w:hAnsi="Arial"/>
          <w:color w:val="auto"/>
          <w:sz w:val="20"/>
          <w:szCs w:val="20"/>
        </w:rPr>
        <w:tab/>
      </w:r>
      <w:r w:rsidRPr="002F2CFF">
        <w:rPr>
          <w:rFonts w:ascii="Arial" w:hAnsi="Arial"/>
          <w:color w:val="auto"/>
          <w:sz w:val="20"/>
          <w:szCs w:val="20"/>
        </w:rPr>
        <w:tab/>
        <w:t>Male Youth (15-24 years)</w:t>
      </w:r>
      <w:r w:rsidR="007C5592" w:rsidRPr="002F2CFF">
        <w:rPr>
          <w:rStyle w:val="FootnoteReference"/>
          <w:rFonts w:ascii="Arial" w:hAnsi="Arial" w:cs="Times New Roman"/>
          <w:color w:val="auto"/>
          <w:sz w:val="20"/>
          <w:szCs w:val="20"/>
        </w:rPr>
        <w:footnoteReference w:id="23"/>
      </w:r>
      <w:r w:rsidR="007C5592" w:rsidRPr="002F2CFF">
        <w:rPr>
          <w:rFonts w:ascii="Arial" w:hAnsi="Arial" w:cs="Times New Roman"/>
          <w:color w:val="auto"/>
          <w:sz w:val="20"/>
          <w:szCs w:val="20"/>
        </w:rPr>
        <w:t xml:space="preserve"> (2013) </w:t>
      </w:r>
      <w:r w:rsidR="007C5592" w:rsidRPr="002F2CFF">
        <w:rPr>
          <w:rFonts w:ascii="Arial" w:hAnsi="Arial" w:cs="Times New Roman"/>
          <w:color w:val="auto"/>
          <w:sz w:val="20"/>
          <w:szCs w:val="20"/>
        </w:rPr>
        <w:tab/>
      </w:r>
      <w:r w:rsidR="007C5592" w:rsidRPr="002F2CFF">
        <w:rPr>
          <w:rFonts w:ascii="Arial" w:hAnsi="Arial" w:cs="Times New Roman"/>
          <w:color w:val="auto"/>
          <w:sz w:val="20"/>
          <w:szCs w:val="20"/>
        </w:rPr>
        <w:tab/>
      </w:r>
      <w:r w:rsidR="007C5592" w:rsidRPr="002F2CFF">
        <w:rPr>
          <w:rFonts w:ascii="Arial" w:hAnsi="Arial" w:cs="Times New Roman"/>
          <w:color w:val="auto"/>
          <w:sz w:val="20"/>
          <w:szCs w:val="20"/>
        </w:rPr>
        <w:tab/>
      </w:r>
      <w:r w:rsidRPr="002F2CFF">
        <w:rPr>
          <w:rFonts w:ascii="Arial" w:hAnsi="Arial" w:cs="Times New Roman"/>
          <w:color w:val="auto"/>
          <w:sz w:val="20"/>
          <w:szCs w:val="20"/>
        </w:rPr>
        <w:t xml:space="preserve">80.2 </w:t>
      </w:r>
    </w:p>
    <w:p w:rsidR="00B55E07" w:rsidRPr="002F2CFF" w:rsidRDefault="00B55E07" w:rsidP="007C5592">
      <w:pPr>
        <w:pStyle w:val="Default"/>
        <w:ind w:left="142" w:hanging="102"/>
        <w:rPr>
          <w:rFonts w:ascii="Arial" w:hAnsi="Arial" w:cs="Times New Roman"/>
          <w:color w:val="auto"/>
          <w:sz w:val="20"/>
          <w:szCs w:val="20"/>
        </w:rPr>
      </w:pPr>
      <w:r w:rsidRPr="002F2CFF">
        <w:rPr>
          <w:rFonts w:ascii="Arial" w:hAnsi="Arial"/>
          <w:color w:val="auto"/>
          <w:sz w:val="20"/>
          <w:szCs w:val="20"/>
        </w:rPr>
        <w:tab/>
      </w:r>
      <w:r w:rsidRPr="002F2CFF">
        <w:rPr>
          <w:rFonts w:ascii="Arial" w:hAnsi="Arial"/>
          <w:color w:val="auto"/>
          <w:sz w:val="20"/>
          <w:szCs w:val="20"/>
        </w:rPr>
        <w:tab/>
        <w:t xml:space="preserve">Female Youth (15-24 </w:t>
      </w:r>
      <w:proofErr w:type="gramStart"/>
      <w:r w:rsidRPr="002F2CFF">
        <w:rPr>
          <w:rFonts w:ascii="Arial" w:hAnsi="Arial"/>
          <w:color w:val="auto"/>
          <w:sz w:val="20"/>
          <w:szCs w:val="20"/>
        </w:rPr>
        <w:t>years)</w:t>
      </w:r>
      <w:r w:rsidR="00120E26" w:rsidRPr="00120E26">
        <w:rPr>
          <w:rFonts w:ascii="Arial" w:hAnsi="Arial"/>
          <w:color w:val="auto"/>
          <w:sz w:val="20"/>
          <w:szCs w:val="20"/>
          <w:vertAlign w:val="superscript"/>
        </w:rPr>
        <w:t>23</w:t>
      </w:r>
      <w:proofErr w:type="gramEnd"/>
      <w:r w:rsidR="007C5592" w:rsidRPr="002F2CFF">
        <w:rPr>
          <w:rFonts w:ascii="Arial" w:hAnsi="Arial"/>
          <w:color w:val="auto"/>
          <w:sz w:val="20"/>
          <w:szCs w:val="20"/>
        </w:rPr>
        <w:t xml:space="preserve"> (2013)</w:t>
      </w:r>
      <w:r w:rsidR="007C5592" w:rsidRPr="002F2CFF">
        <w:rPr>
          <w:rFonts w:ascii="Arial" w:hAnsi="Arial"/>
          <w:color w:val="auto"/>
          <w:sz w:val="20"/>
          <w:szCs w:val="20"/>
        </w:rPr>
        <w:tab/>
      </w:r>
      <w:r w:rsidR="007C5592" w:rsidRPr="002F2CFF">
        <w:rPr>
          <w:rFonts w:ascii="Arial" w:hAnsi="Arial"/>
          <w:color w:val="auto"/>
          <w:sz w:val="20"/>
          <w:szCs w:val="20"/>
        </w:rPr>
        <w:tab/>
      </w:r>
      <w:r w:rsidR="007C5592" w:rsidRPr="002F2CFF">
        <w:rPr>
          <w:rFonts w:ascii="Arial" w:hAnsi="Arial"/>
          <w:color w:val="auto"/>
          <w:sz w:val="20"/>
          <w:szCs w:val="20"/>
        </w:rPr>
        <w:tab/>
      </w:r>
      <w:r w:rsidR="007C5592" w:rsidRPr="002F2CFF">
        <w:rPr>
          <w:rFonts w:ascii="Arial" w:hAnsi="Arial" w:cs="Times New Roman"/>
          <w:color w:val="auto"/>
          <w:sz w:val="20"/>
          <w:szCs w:val="20"/>
        </w:rPr>
        <w:t>62.8</w:t>
      </w:r>
    </w:p>
    <w:p w:rsidR="00B55E07" w:rsidRPr="002F2CFF" w:rsidRDefault="00B55E07" w:rsidP="00B55E07">
      <w:pPr>
        <w:pStyle w:val="TableParagraph"/>
        <w:kinsoku w:val="0"/>
        <w:overflowPunct w:val="0"/>
        <w:spacing w:line="268" w:lineRule="exact"/>
        <w:ind w:left="142" w:right="237" w:hanging="102"/>
        <w:rPr>
          <w:rFonts w:ascii="Arial" w:hAnsi="Arial"/>
          <w:sz w:val="20"/>
          <w:szCs w:val="20"/>
        </w:rPr>
      </w:pPr>
      <w:r w:rsidRPr="002F2CFF">
        <w:rPr>
          <w:rFonts w:ascii="Arial" w:hAnsi="Arial" w:cs="Calibri"/>
          <w:sz w:val="20"/>
          <w:szCs w:val="20"/>
        </w:rPr>
        <w:t>M</w:t>
      </w:r>
      <w:r w:rsidRPr="002F2CFF">
        <w:rPr>
          <w:rFonts w:ascii="Arial" w:hAnsi="Arial" w:cs="Calibri"/>
          <w:spacing w:val="1"/>
          <w:sz w:val="20"/>
          <w:szCs w:val="20"/>
        </w:rPr>
        <w:t>o</w:t>
      </w:r>
      <w:r w:rsidRPr="002F2CFF">
        <w:rPr>
          <w:rFonts w:ascii="Arial" w:hAnsi="Arial" w:cs="Calibri"/>
          <w:spacing w:val="-1"/>
          <w:sz w:val="20"/>
          <w:szCs w:val="20"/>
        </w:rPr>
        <w:t>bil</w:t>
      </w:r>
      <w:r w:rsidRPr="002F2CFF">
        <w:rPr>
          <w:rFonts w:ascii="Arial" w:hAnsi="Arial" w:cs="Calibri"/>
          <w:sz w:val="20"/>
          <w:szCs w:val="20"/>
        </w:rPr>
        <w:t>e</w:t>
      </w:r>
      <w:r w:rsidR="00120E26">
        <w:rPr>
          <w:rFonts w:ascii="Arial" w:hAnsi="Arial" w:cs="Calibri"/>
          <w:sz w:val="20"/>
          <w:szCs w:val="20"/>
        </w:rPr>
        <w:t xml:space="preserve"> </w:t>
      </w:r>
      <w:r w:rsidRPr="002F2CFF">
        <w:rPr>
          <w:rFonts w:ascii="Arial" w:hAnsi="Arial" w:cs="Calibri"/>
          <w:spacing w:val="-1"/>
          <w:sz w:val="20"/>
          <w:szCs w:val="20"/>
        </w:rPr>
        <w:t>ph</w:t>
      </w:r>
      <w:r w:rsidRPr="002F2CFF">
        <w:rPr>
          <w:rFonts w:ascii="Arial" w:hAnsi="Arial" w:cs="Calibri"/>
          <w:spacing w:val="1"/>
          <w:sz w:val="20"/>
          <w:szCs w:val="20"/>
        </w:rPr>
        <w:t>o</w:t>
      </w:r>
      <w:r w:rsidRPr="002F2CFF">
        <w:rPr>
          <w:rFonts w:ascii="Arial" w:hAnsi="Arial" w:cs="Calibri"/>
          <w:spacing w:val="-1"/>
          <w:sz w:val="20"/>
          <w:szCs w:val="20"/>
        </w:rPr>
        <w:t>n</w:t>
      </w:r>
      <w:r w:rsidRPr="002F2CFF">
        <w:rPr>
          <w:rFonts w:ascii="Arial" w:hAnsi="Arial" w:cs="Calibri"/>
          <w:sz w:val="20"/>
          <w:szCs w:val="20"/>
        </w:rPr>
        <w:t>e</w:t>
      </w:r>
      <w:r w:rsidR="00120E26">
        <w:rPr>
          <w:rFonts w:ascii="Arial" w:hAnsi="Arial" w:cs="Calibri"/>
          <w:sz w:val="20"/>
          <w:szCs w:val="20"/>
        </w:rPr>
        <w:t xml:space="preserve"> </w:t>
      </w:r>
      <w:r w:rsidRPr="002F2CFF">
        <w:rPr>
          <w:rFonts w:ascii="Arial" w:hAnsi="Arial" w:cs="Calibri"/>
          <w:spacing w:val="-1"/>
          <w:sz w:val="20"/>
          <w:szCs w:val="20"/>
        </w:rPr>
        <w:t>subs</w:t>
      </w:r>
      <w:r w:rsidRPr="002F2CFF">
        <w:rPr>
          <w:rFonts w:ascii="Arial" w:hAnsi="Arial" w:cs="Calibri"/>
          <w:sz w:val="20"/>
          <w:szCs w:val="20"/>
        </w:rPr>
        <w:t>c</w:t>
      </w:r>
      <w:r w:rsidRPr="002F2CFF">
        <w:rPr>
          <w:rFonts w:ascii="Arial" w:hAnsi="Arial" w:cs="Calibri"/>
          <w:spacing w:val="-1"/>
          <w:sz w:val="20"/>
          <w:szCs w:val="20"/>
        </w:rPr>
        <w:t>rip</w:t>
      </w:r>
      <w:r w:rsidRPr="002F2CFF">
        <w:rPr>
          <w:rFonts w:ascii="Arial" w:hAnsi="Arial" w:cs="Calibri"/>
          <w:sz w:val="20"/>
          <w:szCs w:val="20"/>
        </w:rPr>
        <w:t>t</w:t>
      </w:r>
      <w:r w:rsidRPr="002F2CFF">
        <w:rPr>
          <w:rFonts w:ascii="Arial" w:hAnsi="Arial" w:cs="Calibri"/>
          <w:spacing w:val="-1"/>
          <w:sz w:val="20"/>
          <w:szCs w:val="20"/>
        </w:rPr>
        <w:t>i</w:t>
      </w:r>
      <w:r w:rsidRPr="002F2CFF">
        <w:rPr>
          <w:rFonts w:ascii="Arial" w:hAnsi="Arial" w:cs="Calibri"/>
          <w:spacing w:val="1"/>
          <w:sz w:val="20"/>
          <w:szCs w:val="20"/>
        </w:rPr>
        <w:t>o</w:t>
      </w:r>
      <w:r w:rsidRPr="002F2CFF">
        <w:rPr>
          <w:rFonts w:ascii="Arial" w:hAnsi="Arial" w:cs="Calibri"/>
          <w:sz w:val="20"/>
          <w:szCs w:val="20"/>
        </w:rPr>
        <w:t>n</w:t>
      </w:r>
      <w:r w:rsidR="00120E26">
        <w:rPr>
          <w:rFonts w:ascii="Arial" w:hAnsi="Arial" w:cs="Calibri"/>
          <w:sz w:val="20"/>
          <w:szCs w:val="20"/>
        </w:rPr>
        <w:t xml:space="preserve"> </w:t>
      </w:r>
      <w:r w:rsidRPr="002F2CFF">
        <w:rPr>
          <w:rFonts w:ascii="Arial" w:hAnsi="Arial" w:cs="Calibri"/>
          <w:sz w:val="20"/>
          <w:szCs w:val="20"/>
        </w:rPr>
        <w:t>(</w:t>
      </w:r>
      <w:r w:rsidRPr="002F2CFF">
        <w:rPr>
          <w:rFonts w:ascii="Arial" w:hAnsi="Arial" w:cs="Calibri"/>
          <w:spacing w:val="-1"/>
          <w:sz w:val="20"/>
          <w:szCs w:val="20"/>
        </w:rPr>
        <w:t>p</w:t>
      </w:r>
      <w:r w:rsidRPr="002F2CFF">
        <w:rPr>
          <w:rFonts w:ascii="Arial" w:hAnsi="Arial" w:cs="Calibri"/>
          <w:sz w:val="20"/>
          <w:szCs w:val="20"/>
        </w:rPr>
        <w:t xml:space="preserve">er </w:t>
      </w:r>
      <w:r w:rsidRPr="002F2CFF">
        <w:rPr>
          <w:rFonts w:ascii="Arial" w:hAnsi="Arial" w:cs="Calibri"/>
          <w:spacing w:val="-2"/>
          <w:sz w:val="20"/>
          <w:szCs w:val="20"/>
        </w:rPr>
        <w:t>1</w:t>
      </w:r>
      <w:r w:rsidRPr="002F2CFF">
        <w:rPr>
          <w:rFonts w:ascii="Arial" w:hAnsi="Arial" w:cs="Calibri"/>
          <w:sz w:val="20"/>
          <w:szCs w:val="20"/>
        </w:rPr>
        <w:t xml:space="preserve">00 </w:t>
      </w:r>
      <w:r w:rsidRPr="002F2CFF">
        <w:rPr>
          <w:rFonts w:ascii="Arial" w:hAnsi="Arial" w:cs="Calibri"/>
          <w:spacing w:val="-1"/>
          <w:sz w:val="20"/>
          <w:szCs w:val="20"/>
        </w:rPr>
        <w:t>p</w:t>
      </w:r>
      <w:r w:rsidRPr="002F2CFF">
        <w:rPr>
          <w:rFonts w:ascii="Arial" w:hAnsi="Arial" w:cs="Calibri"/>
          <w:sz w:val="20"/>
          <w:szCs w:val="20"/>
        </w:rPr>
        <w:t>e</w:t>
      </w:r>
      <w:r w:rsidRPr="002F2CFF">
        <w:rPr>
          <w:rFonts w:ascii="Arial" w:hAnsi="Arial" w:cs="Calibri"/>
          <w:spacing w:val="1"/>
          <w:sz w:val="20"/>
          <w:szCs w:val="20"/>
        </w:rPr>
        <w:t>o</w:t>
      </w:r>
      <w:r w:rsidRPr="002F2CFF">
        <w:rPr>
          <w:rFonts w:ascii="Arial" w:hAnsi="Arial" w:cs="Calibri"/>
          <w:spacing w:val="-1"/>
          <w:sz w:val="20"/>
          <w:szCs w:val="20"/>
        </w:rPr>
        <w:t>pl</w:t>
      </w:r>
      <w:r w:rsidRPr="002F2CFF">
        <w:rPr>
          <w:rFonts w:ascii="Arial" w:hAnsi="Arial" w:cs="Calibri"/>
          <w:sz w:val="20"/>
          <w:szCs w:val="20"/>
        </w:rPr>
        <w:t>e)</w:t>
      </w:r>
      <w:r w:rsidR="00735C15" w:rsidRPr="002F2CFF">
        <w:rPr>
          <w:rStyle w:val="FootnoteReference"/>
          <w:rFonts w:ascii="Arial" w:hAnsi="Arial" w:cs="Calibri"/>
          <w:spacing w:val="-3"/>
          <w:sz w:val="20"/>
          <w:szCs w:val="20"/>
        </w:rPr>
        <w:footnoteReference w:id="24"/>
      </w:r>
      <w:r w:rsidR="007C5592" w:rsidRPr="002F2CFF">
        <w:rPr>
          <w:rFonts w:ascii="Arial" w:hAnsi="Arial"/>
          <w:sz w:val="20"/>
          <w:szCs w:val="20"/>
        </w:rPr>
        <w:tab/>
      </w:r>
      <w:r w:rsidR="007C5592" w:rsidRPr="002F2CFF">
        <w:rPr>
          <w:rFonts w:ascii="Arial" w:hAnsi="Arial"/>
          <w:sz w:val="20"/>
          <w:szCs w:val="20"/>
        </w:rPr>
        <w:tab/>
      </w:r>
      <w:r w:rsidR="007C5592" w:rsidRPr="002F2CFF">
        <w:rPr>
          <w:rFonts w:ascii="Arial" w:hAnsi="Arial"/>
          <w:sz w:val="20"/>
          <w:szCs w:val="20"/>
        </w:rPr>
        <w:tab/>
      </w:r>
      <w:r w:rsidRPr="002F2CFF">
        <w:rPr>
          <w:rFonts w:ascii="Arial" w:hAnsi="Arial"/>
          <w:sz w:val="20"/>
          <w:szCs w:val="20"/>
        </w:rPr>
        <w:t>73</w:t>
      </w:r>
    </w:p>
    <w:p w:rsidR="00B55E07" w:rsidRPr="002F2CFF" w:rsidRDefault="00B55E07" w:rsidP="00B55E07">
      <w:pPr>
        <w:pStyle w:val="TableParagraph"/>
        <w:kinsoku w:val="0"/>
        <w:overflowPunct w:val="0"/>
        <w:ind w:left="142" w:hanging="102"/>
        <w:rPr>
          <w:rFonts w:ascii="Arial" w:hAnsi="Arial"/>
          <w:i/>
          <w:sz w:val="20"/>
          <w:szCs w:val="20"/>
        </w:rPr>
      </w:pPr>
      <w:r w:rsidRPr="002F2CFF">
        <w:rPr>
          <w:rFonts w:ascii="Arial" w:hAnsi="Arial" w:cs="Calibri"/>
          <w:spacing w:val="-1"/>
          <w:sz w:val="20"/>
          <w:szCs w:val="20"/>
        </w:rPr>
        <w:t>In</w:t>
      </w:r>
      <w:r w:rsidRPr="002F2CFF">
        <w:rPr>
          <w:rFonts w:ascii="Arial" w:hAnsi="Arial" w:cs="Calibri"/>
          <w:sz w:val="20"/>
          <w:szCs w:val="20"/>
        </w:rPr>
        <w:t>te</w:t>
      </w:r>
      <w:r w:rsidRPr="002F2CFF">
        <w:rPr>
          <w:rFonts w:ascii="Arial" w:hAnsi="Arial" w:cs="Calibri"/>
          <w:spacing w:val="-1"/>
          <w:sz w:val="20"/>
          <w:szCs w:val="20"/>
        </w:rPr>
        <w:t>rn</w:t>
      </w:r>
      <w:r w:rsidRPr="002F2CFF">
        <w:rPr>
          <w:rFonts w:ascii="Arial" w:hAnsi="Arial" w:cs="Calibri"/>
          <w:sz w:val="20"/>
          <w:szCs w:val="20"/>
        </w:rPr>
        <w:t>et</w:t>
      </w:r>
      <w:r w:rsidR="00120E26">
        <w:rPr>
          <w:rFonts w:ascii="Arial" w:hAnsi="Arial" w:cs="Calibri"/>
          <w:sz w:val="20"/>
          <w:szCs w:val="20"/>
        </w:rPr>
        <w:t xml:space="preserve"> </w:t>
      </w:r>
      <w:r w:rsidRPr="002F2CFF">
        <w:rPr>
          <w:rFonts w:ascii="Arial" w:hAnsi="Arial" w:cs="Calibri"/>
          <w:spacing w:val="-3"/>
          <w:sz w:val="20"/>
          <w:szCs w:val="20"/>
        </w:rPr>
        <w:t>u</w:t>
      </w:r>
      <w:r w:rsidRPr="002F2CFF">
        <w:rPr>
          <w:rFonts w:ascii="Arial" w:hAnsi="Arial" w:cs="Calibri"/>
          <w:spacing w:val="-1"/>
          <w:sz w:val="20"/>
          <w:szCs w:val="20"/>
        </w:rPr>
        <w:t>s</w:t>
      </w:r>
      <w:r w:rsidRPr="002F2CFF">
        <w:rPr>
          <w:rFonts w:ascii="Arial" w:hAnsi="Arial" w:cs="Calibri"/>
          <w:sz w:val="20"/>
          <w:szCs w:val="20"/>
        </w:rPr>
        <w:t>e</w:t>
      </w:r>
      <w:r w:rsidRPr="002F2CFF">
        <w:rPr>
          <w:rFonts w:ascii="Arial" w:hAnsi="Arial" w:cs="Calibri"/>
          <w:spacing w:val="-1"/>
          <w:sz w:val="20"/>
          <w:szCs w:val="20"/>
        </w:rPr>
        <w:t>r</w:t>
      </w:r>
      <w:r w:rsidRPr="002F2CFF">
        <w:rPr>
          <w:rFonts w:ascii="Arial" w:hAnsi="Arial" w:cs="Calibri"/>
          <w:sz w:val="20"/>
          <w:szCs w:val="20"/>
        </w:rPr>
        <w:t>s</w:t>
      </w:r>
      <w:r w:rsidR="00120E26">
        <w:rPr>
          <w:rFonts w:ascii="Arial" w:hAnsi="Arial" w:cs="Calibri"/>
          <w:sz w:val="20"/>
          <w:szCs w:val="20"/>
        </w:rPr>
        <w:t xml:space="preserve"> </w:t>
      </w:r>
      <w:r w:rsidRPr="002F2CFF">
        <w:rPr>
          <w:rFonts w:ascii="Arial" w:hAnsi="Arial" w:cs="Calibri"/>
          <w:sz w:val="20"/>
          <w:szCs w:val="20"/>
        </w:rPr>
        <w:t>(</w:t>
      </w:r>
      <w:r w:rsidRPr="002F2CFF">
        <w:rPr>
          <w:rFonts w:ascii="Arial" w:hAnsi="Arial" w:cs="Calibri"/>
          <w:spacing w:val="-1"/>
          <w:sz w:val="20"/>
          <w:szCs w:val="20"/>
        </w:rPr>
        <w:t>p</w:t>
      </w:r>
      <w:r w:rsidRPr="002F2CFF">
        <w:rPr>
          <w:rFonts w:ascii="Arial" w:hAnsi="Arial" w:cs="Calibri"/>
          <w:sz w:val="20"/>
          <w:szCs w:val="20"/>
        </w:rPr>
        <w:t>er</w:t>
      </w:r>
      <w:r w:rsidR="00120E26">
        <w:rPr>
          <w:rFonts w:ascii="Arial" w:hAnsi="Arial" w:cs="Calibri"/>
          <w:sz w:val="20"/>
          <w:szCs w:val="20"/>
        </w:rPr>
        <w:t xml:space="preserve"> </w:t>
      </w:r>
      <w:r w:rsidRPr="002F2CFF">
        <w:rPr>
          <w:rFonts w:ascii="Arial" w:hAnsi="Arial" w:cs="Calibri"/>
          <w:sz w:val="20"/>
          <w:szCs w:val="20"/>
        </w:rPr>
        <w:t>1</w:t>
      </w:r>
      <w:r w:rsidRPr="002F2CFF">
        <w:rPr>
          <w:rFonts w:ascii="Arial" w:hAnsi="Arial" w:cs="Calibri"/>
          <w:spacing w:val="-2"/>
          <w:sz w:val="20"/>
          <w:szCs w:val="20"/>
        </w:rPr>
        <w:t>0</w:t>
      </w:r>
      <w:r w:rsidRPr="002F2CFF">
        <w:rPr>
          <w:rFonts w:ascii="Arial" w:hAnsi="Arial" w:cs="Calibri"/>
          <w:sz w:val="20"/>
          <w:szCs w:val="20"/>
        </w:rPr>
        <w:t>0</w:t>
      </w:r>
      <w:r w:rsidR="00120E26">
        <w:rPr>
          <w:rFonts w:ascii="Arial" w:hAnsi="Arial" w:cs="Calibri"/>
          <w:sz w:val="20"/>
          <w:szCs w:val="20"/>
        </w:rPr>
        <w:t xml:space="preserve"> </w:t>
      </w:r>
      <w:proofErr w:type="gramStart"/>
      <w:r w:rsidRPr="002F2CFF">
        <w:rPr>
          <w:rFonts w:ascii="Arial" w:hAnsi="Arial" w:cs="Calibri"/>
          <w:spacing w:val="-1"/>
          <w:sz w:val="20"/>
          <w:szCs w:val="20"/>
        </w:rPr>
        <w:t>p</w:t>
      </w:r>
      <w:r w:rsidRPr="002F2CFF">
        <w:rPr>
          <w:rFonts w:ascii="Arial" w:hAnsi="Arial" w:cs="Calibri"/>
          <w:spacing w:val="-2"/>
          <w:sz w:val="20"/>
          <w:szCs w:val="20"/>
        </w:rPr>
        <w:t>e</w:t>
      </w:r>
      <w:r w:rsidRPr="002F2CFF">
        <w:rPr>
          <w:rFonts w:ascii="Arial" w:hAnsi="Arial" w:cs="Calibri"/>
          <w:spacing w:val="1"/>
          <w:sz w:val="20"/>
          <w:szCs w:val="20"/>
        </w:rPr>
        <w:t>o</w:t>
      </w:r>
      <w:r w:rsidRPr="002F2CFF">
        <w:rPr>
          <w:rFonts w:ascii="Arial" w:hAnsi="Arial" w:cs="Calibri"/>
          <w:spacing w:val="-1"/>
          <w:sz w:val="20"/>
          <w:szCs w:val="20"/>
        </w:rPr>
        <w:t>pl</w:t>
      </w:r>
      <w:r w:rsidRPr="002F2CFF">
        <w:rPr>
          <w:rFonts w:ascii="Arial" w:hAnsi="Arial" w:cs="Calibri"/>
          <w:sz w:val="20"/>
          <w:szCs w:val="20"/>
        </w:rPr>
        <w:t>e)</w:t>
      </w:r>
      <w:r w:rsidR="00120E26" w:rsidRPr="00120E26">
        <w:rPr>
          <w:rFonts w:ascii="Arial" w:hAnsi="Arial" w:cs="Calibri"/>
          <w:sz w:val="20"/>
          <w:szCs w:val="20"/>
          <w:vertAlign w:val="superscript"/>
        </w:rPr>
        <w:t>24</w:t>
      </w:r>
      <w:proofErr w:type="gramEnd"/>
      <w:r w:rsidR="00120E26" w:rsidRPr="002F2CFF">
        <w:rPr>
          <w:rFonts w:ascii="Arial" w:hAnsi="Arial" w:cs="Calibri"/>
          <w:i/>
          <w:sz w:val="20"/>
          <w:szCs w:val="20"/>
        </w:rPr>
        <w:t xml:space="preserve"> </w:t>
      </w:r>
      <w:r w:rsidRPr="002F2CFF">
        <w:rPr>
          <w:rFonts w:ascii="Arial" w:hAnsi="Arial" w:cs="Calibri"/>
          <w:i/>
          <w:sz w:val="20"/>
          <w:szCs w:val="20"/>
        </w:rPr>
        <w:t>(2013)</w:t>
      </w:r>
      <w:r w:rsidR="007C5592" w:rsidRPr="002F2CFF">
        <w:rPr>
          <w:rFonts w:ascii="Arial" w:hAnsi="Arial"/>
          <w:i/>
          <w:sz w:val="20"/>
          <w:szCs w:val="20"/>
        </w:rPr>
        <w:tab/>
      </w:r>
      <w:r w:rsidR="007C5592" w:rsidRPr="002F2CFF">
        <w:rPr>
          <w:rFonts w:ascii="Arial" w:hAnsi="Arial"/>
          <w:i/>
          <w:sz w:val="20"/>
          <w:szCs w:val="20"/>
        </w:rPr>
        <w:tab/>
      </w:r>
      <w:r w:rsidR="007C5592" w:rsidRPr="002F2CFF">
        <w:rPr>
          <w:rFonts w:ascii="Arial" w:hAnsi="Arial"/>
          <w:i/>
          <w:sz w:val="20"/>
          <w:szCs w:val="20"/>
        </w:rPr>
        <w:tab/>
      </w:r>
      <w:r w:rsidR="0069286C">
        <w:rPr>
          <w:rFonts w:ascii="Arial" w:hAnsi="Arial"/>
          <w:i/>
          <w:sz w:val="20"/>
          <w:szCs w:val="20"/>
        </w:rPr>
        <w:tab/>
      </w:r>
      <w:r w:rsidRPr="002F2CFF">
        <w:rPr>
          <w:rFonts w:ascii="Arial" w:hAnsi="Arial"/>
          <w:sz w:val="20"/>
          <w:szCs w:val="20"/>
        </w:rPr>
        <w:t>38.0</w:t>
      </w:r>
    </w:p>
    <w:p w:rsidR="00B55E07" w:rsidRPr="002F2CFF" w:rsidRDefault="00B55E07" w:rsidP="00B55E07">
      <w:pPr>
        <w:pStyle w:val="TableParagraph"/>
        <w:kinsoku w:val="0"/>
        <w:overflowPunct w:val="0"/>
        <w:spacing w:line="274" w:lineRule="exact"/>
        <w:ind w:left="142" w:hanging="102"/>
        <w:rPr>
          <w:rFonts w:ascii="Arial" w:hAnsi="Arial"/>
          <w:sz w:val="20"/>
          <w:szCs w:val="20"/>
        </w:rPr>
      </w:pPr>
      <w:r w:rsidRPr="002F2CFF">
        <w:rPr>
          <w:rFonts w:ascii="Arial" w:hAnsi="Arial" w:cs="Calibri"/>
          <w:spacing w:val="-1"/>
          <w:sz w:val="20"/>
          <w:szCs w:val="20"/>
        </w:rPr>
        <w:t>H</w:t>
      </w:r>
      <w:r w:rsidRPr="002F2CFF">
        <w:rPr>
          <w:rFonts w:ascii="Arial" w:hAnsi="Arial" w:cs="Calibri"/>
          <w:spacing w:val="1"/>
          <w:sz w:val="20"/>
          <w:szCs w:val="20"/>
        </w:rPr>
        <w:t>o</w:t>
      </w:r>
      <w:r w:rsidRPr="002F2CFF">
        <w:rPr>
          <w:rFonts w:ascii="Arial" w:hAnsi="Arial" w:cs="Calibri"/>
          <w:spacing w:val="-1"/>
          <w:sz w:val="20"/>
          <w:szCs w:val="20"/>
        </w:rPr>
        <w:t>us</w:t>
      </w:r>
      <w:r w:rsidRPr="002F2CFF">
        <w:rPr>
          <w:rFonts w:ascii="Arial" w:hAnsi="Arial" w:cs="Calibri"/>
          <w:sz w:val="20"/>
          <w:szCs w:val="20"/>
        </w:rPr>
        <w:t>e</w:t>
      </w:r>
      <w:r w:rsidRPr="002F2CFF">
        <w:rPr>
          <w:rFonts w:ascii="Arial" w:hAnsi="Arial" w:cs="Calibri"/>
          <w:spacing w:val="-1"/>
          <w:sz w:val="20"/>
          <w:szCs w:val="20"/>
        </w:rPr>
        <w:t>h</w:t>
      </w:r>
      <w:r w:rsidRPr="002F2CFF">
        <w:rPr>
          <w:rFonts w:ascii="Arial" w:hAnsi="Arial" w:cs="Calibri"/>
          <w:spacing w:val="1"/>
          <w:sz w:val="20"/>
          <w:szCs w:val="20"/>
        </w:rPr>
        <w:t>o</w:t>
      </w:r>
      <w:r w:rsidRPr="002F2CFF">
        <w:rPr>
          <w:rFonts w:ascii="Arial" w:hAnsi="Arial" w:cs="Calibri"/>
          <w:spacing w:val="-1"/>
          <w:sz w:val="20"/>
          <w:szCs w:val="20"/>
        </w:rPr>
        <w:t>ld</w:t>
      </w:r>
      <w:r w:rsidRPr="002F2CFF">
        <w:rPr>
          <w:rFonts w:ascii="Arial" w:hAnsi="Arial" w:cs="Calibri"/>
          <w:sz w:val="20"/>
          <w:szCs w:val="20"/>
        </w:rPr>
        <w:t>s</w:t>
      </w:r>
      <w:r w:rsidR="00120E26">
        <w:rPr>
          <w:rFonts w:ascii="Arial" w:hAnsi="Arial" w:cs="Calibri"/>
          <w:sz w:val="20"/>
          <w:szCs w:val="20"/>
        </w:rPr>
        <w:t xml:space="preserve"> </w:t>
      </w:r>
      <w:r w:rsidRPr="002F2CFF">
        <w:rPr>
          <w:rFonts w:ascii="Arial" w:hAnsi="Arial" w:cs="Calibri"/>
          <w:sz w:val="20"/>
          <w:szCs w:val="20"/>
        </w:rPr>
        <w:t>w</w:t>
      </w:r>
      <w:r w:rsidRPr="002F2CFF">
        <w:rPr>
          <w:rFonts w:ascii="Arial" w:hAnsi="Arial" w:cs="Calibri"/>
          <w:spacing w:val="-1"/>
          <w:sz w:val="20"/>
          <w:szCs w:val="20"/>
        </w:rPr>
        <w:t>i</w:t>
      </w:r>
      <w:r w:rsidRPr="002F2CFF">
        <w:rPr>
          <w:rFonts w:ascii="Arial" w:hAnsi="Arial" w:cs="Calibri"/>
          <w:sz w:val="20"/>
          <w:szCs w:val="20"/>
        </w:rPr>
        <w:t>th</w:t>
      </w:r>
      <w:r w:rsidR="00120E26">
        <w:rPr>
          <w:rFonts w:ascii="Arial" w:hAnsi="Arial" w:cs="Calibri"/>
          <w:sz w:val="20"/>
          <w:szCs w:val="20"/>
        </w:rPr>
        <w:t xml:space="preserve"> </w:t>
      </w:r>
      <w:r w:rsidRPr="002F2CFF">
        <w:rPr>
          <w:rFonts w:ascii="Arial" w:hAnsi="Arial" w:cs="Calibri"/>
          <w:sz w:val="20"/>
          <w:szCs w:val="20"/>
        </w:rPr>
        <w:t xml:space="preserve">a </w:t>
      </w:r>
      <w:proofErr w:type="gramStart"/>
      <w:r w:rsidRPr="002F2CFF">
        <w:rPr>
          <w:rFonts w:ascii="Arial" w:hAnsi="Arial" w:cs="Calibri"/>
          <w:sz w:val="20"/>
          <w:szCs w:val="20"/>
        </w:rPr>
        <w:t>r</w:t>
      </w:r>
      <w:r w:rsidRPr="002F2CFF">
        <w:rPr>
          <w:rFonts w:ascii="Arial" w:hAnsi="Arial" w:cs="Calibri"/>
          <w:spacing w:val="-1"/>
          <w:sz w:val="20"/>
          <w:szCs w:val="20"/>
        </w:rPr>
        <w:t>ad</w:t>
      </w:r>
      <w:r w:rsidRPr="002F2CFF">
        <w:rPr>
          <w:rFonts w:ascii="Arial" w:hAnsi="Arial" w:cs="Calibri"/>
          <w:spacing w:val="-3"/>
          <w:sz w:val="20"/>
          <w:szCs w:val="20"/>
        </w:rPr>
        <w:t>i</w:t>
      </w:r>
      <w:r w:rsidRPr="002F2CFF">
        <w:rPr>
          <w:rFonts w:ascii="Arial" w:hAnsi="Arial" w:cs="Calibri"/>
          <w:sz w:val="20"/>
          <w:szCs w:val="20"/>
        </w:rPr>
        <w:t>o</w:t>
      </w:r>
      <w:r w:rsidRPr="002F2CFF">
        <w:rPr>
          <w:rFonts w:ascii="Arial" w:hAnsi="Arial" w:cs="Calibri"/>
          <w:spacing w:val="-3"/>
          <w:sz w:val="20"/>
          <w:szCs w:val="20"/>
        </w:rPr>
        <w:t>(</w:t>
      </w:r>
      <w:proofErr w:type="gramEnd"/>
      <w:r w:rsidRPr="002F2CFF">
        <w:rPr>
          <w:rFonts w:ascii="Arial" w:hAnsi="Arial" w:cs="Calibri"/>
          <w:sz w:val="20"/>
          <w:szCs w:val="20"/>
        </w:rPr>
        <w:t>%)</w:t>
      </w:r>
      <w:r w:rsidR="00735C15" w:rsidRPr="002F2CFF">
        <w:rPr>
          <w:rStyle w:val="FootnoteReference"/>
          <w:rFonts w:ascii="Arial" w:hAnsi="Arial" w:cs="Calibri"/>
          <w:spacing w:val="1"/>
          <w:sz w:val="20"/>
          <w:szCs w:val="20"/>
        </w:rPr>
        <w:footnoteReference w:id="25"/>
      </w:r>
      <w:r w:rsidRPr="002F2CFF">
        <w:rPr>
          <w:rFonts w:ascii="Arial" w:hAnsi="Arial" w:cs="Calibri"/>
          <w:i/>
          <w:sz w:val="20"/>
          <w:szCs w:val="20"/>
        </w:rPr>
        <w:t>(2011-2012)</w:t>
      </w:r>
      <w:r w:rsidR="007C5592" w:rsidRPr="002F2CFF">
        <w:rPr>
          <w:rFonts w:ascii="Arial" w:hAnsi="Arial"/>
          <w:sz w:val="20"/>
          <w:szCs w:val="20"/>
        </w:rPr>
        <w:tab/>
      </w:r>
      <w:r w:rsidR="007C5592" w:rsidRPr="002F2CFF">
        <w:rPr>
          <w:rFonts w:ascii="Arial" w:hAnsi="Arial"/>
          <w:sz w:val="20"/>
          <w:szCs w:val="20"/>
        </w:rPr>
        <w:tab/>
      </w:r>
      <w:r w:rsidR="00120E26">
        <w:rPr>
          <w:rFonts w:ascii="Arial" w:hAnsi="Arial"/>
          <w:sz w:val="20"/>
          <w:szCs w:val="20"/>
        </w:rPr>
        <w:tab/>
      </w:r>
      <w:r w:rsidRPr="002F2CFF">
        <w:rPr>
          <w:rFonts w:ascii="Arial" w:hAnsi="Arial"/>
          <w:sz w:val="20"/>
          <w:szCs w:val="20"/>
        </w:rPr>
        <w:t>70</w:t>
      </w:r>
    </w:p>
    <w:p w:rsidR="00B55E07" w:rsidRPr="00760F87" w:rsidRDefault="00B55E07" w:rsidP="00B55E07">
      <w:pPr>
        <w:pStyle w:val="TableParagraph"/>
        <w:kinsoku w:val="0"/>
        <w:overflowPunct w:val="0"/>
        <w:spacing w:line="274" w:lineRule="exact"/>
        <w:ind w:left="142" w:hanging="102"/>
        <w:rPr>
          <w:rFonts w:ascii="Arial" w:hAnsi="Arial"/>
          <w:sz w:val="20"/>
          <w:szCs w:val="20"/>
        </w:rPr>
      </w:pPr>
      <w:r w:rsidRPr="002F2CFF">
        <w:rPr>
          <w:rFonts w:ascii="Arial" w:hAnsi="Arial" w:cs="Calibri"/>
          <w:spacing w:val="-1"/>
          <w:sz w:val="20"/>
          <w:szCs w:val="20"/>
        </w:rPr>
        <w:t>H</w:t>
      </w:r>
      <w:r w:rsidRPr="002F2CFF">
        <w:rPr>
          <w:rFonts w:ascii="Arial" w:hAnsi="Arial" w:cs="Calibri"/>
          <w:spacing w:val="1"/>
          <w:sz w:val="20"/>
          <w:szCs w:val="20"/>
        </w:rPr>
        <w:t>o</w:t>
      </w:r>
      <w:r w:rsidRPr="002F2CFF">
        <w:rPr>
          <w:rFonts w:ascii="Arial" w:hAnsi="Arial" w:cs="Calibri"/>
          <w:spacing w:val="-1"/>
          <w:sz w:val="20"/>
          <w:szCs w:val="20"/>
        </w:rPr>
        <w:t>us</w:t>
      </w:r>
      <w:r w:rsidRPr="002F2CFF">
        <w:rPr>
          <w:rFonts w:ascii="Arial" w:hAnsi="Arial" w:cs="Calibri"/>
          <w:sz w:val="20"/>
          <w:szCs w:val="20"/>
        </w:rPr>
        <w:t>e</w:t>
      </w:r>
      <w:r w:rsidRPr="002F2CFF">
        <w:rPr>
          <w:rFonts w:ascii="Arial" w:hAnsi="Arial" w:cs="Calibri"/>
          <w:spacing w:val="-1"/>
          <w:sz w:val="20"/>
          <w:szCs w:val="20"/>
        </w:rPr>
        <w:t>h</w:t>
      </w:r>
      <w:r w:rsidRPr="002F2CFF">
        <w:rPr>
          <w:rFonts w:ascii="Arial" w:hAnsi="Arial" w:cs="Calibri"/>
          <w:spacing w:val="1"/>
          <w:sz w:val="20"/>
          <w:szCs w:val="20"/>
        </w:rPr>
        <w:t>o</w:t>
      </w:r>
      <w:r w:rsidRPr="002F2CFF">
        <w:rPr>
          <w:rFonts w:ascii="Arial" w:hAnsi="Arial" w:cs="Calibri"/>
          <w:spacing w:val="-1"/>
          <w:sz w:val="20"/>
          <w:szCs w:val="20"/>
        </w:rPr>
        <w:t>ld</w:t>
      </w:r>
      <w:r w:rsidRPr="002F2CFF">
        <w:rPr>
          <w:rFonts w:ascii="Arial" w:hAnsi="Arial" w:cs="Calibri"/>
          <w:sz w:val="20"/>
          <w:szCs w:val="20"/>
        </w:rPr>
        <w:t>s</w:t>
      </w:r>
      <w:r w:rsidR="00120E26">
        <w:rPr>
          <w:rFonts w:ascii="Arial" w:hAnsi="Arial" w:cs="Calibri"/>
          <w:sz w:val="20"/>
          <w:szCs w:val="20"/>
        </w:rPr>
        <w:t xml:space="preserve"> </w:t>
      </w:r>
      <w:r w:rsidRPr="002F2CFF">
        <w:rPr>
          <w:rFonts w:ascii="Arial" w:hAnsi="Arial" w:cs="Calibri"/>
          <w:sz w:val="20"/>
          <w:szCs w:val="20"/>
        </w:rPr>
        <w:t>w</w:t>
      </w:r>
      <w:r w:rsidRPr="002F2CFF">
        <w:rPr>
          <w:rFonts w:ascii="Arial" w:hAnsi="Arial" w:cs="Calibri"/>
          <w:spacing w:val="-1"/>
          <w:sz w:val="20"/>
          <w:szCs w:val="20"/>
        </w:rPr>
        <w:t>i</w:t>
      </w:r>
      <w:r w:rsidRPr="002F2CFF">
        <w:rPr>
          <w:rFonts w:ascii="Arial" w:hAnsi="Arial" w:cs="Calibri"/>
          <w:sz w:val="20"/>
          <w:szCs w:val="20"/>
        </w:rPr>
        <w:t>th</w:t>
      </w:r>
      <w:r w:rsidR="00120E26">
        <w:rPr>
          <w:rFonts w:ascii="Arial" w:hAnsi="Arial" w:cs="Calibri"/>
          <w:sz w:val="20"/>
          <w:szCs w:val="20"/>
        </w:rPr>
        <w:t xml:space="preserve"> a </w:t>
      </w:r>
      <w:proofErr w:type="gramStart"/>
      <w:r w:rsidR="00120E26">
        <w:rPr>
          <w:rFonts w:ascii="Arial" w:hAnsi="Arial" w:cs="Calibri"/>
          <w:sz w:val="20"/>
          <w:szCs w:val="20"/>
        </w:rPr>
        <w:t>t</w:t>
      </w:r>
      <w:r w:rsidR="00735C15" w:rsidRPr="002F2CFF">
        <w:rPr>
          <w:rFonts w:ascii="Arial" w:hAnsi="Arial" w:cs="Calibri"/>
          <w:sz w:val="20"/>
          <w:szCs w:val="20"/>
        </w:rPr>
        <w:t>elevision</w:t>
      </w:r>
      <w:r w:rsidRPr="002F2CFF">
        <w:rPr>
          <w:rFonts w:ascii="Arial" w:hAnsi="Arial" w:cs="Calibri"/>
          <w:sz w:val="20"/>
          <w:szCs w:val="20"/>
        </w:rPr>
        <w:t>(</w:t>
      </w:r>
      <w:proofErr w:type="gramEnd"/>
      <w:r w:rsidRPr="002F2CFF">
        <w:rPr>
          <w:rFonts w:ascii="Arial" w:hAnsi="Arial" w:cs="Calibri"/>
          <w:sz w:val="20"/>
          <w:szCs w:val="20"/>
        </w:rPr>
        <w:t>%)</w:t>
      </w:r>
      <w:r w:rsidR="00120E26" w:rsidRPr="00120E26">
        <w:rPr>
          <w:rFonts w:ascii="Arial" w:hAnsi="Arial" w:cs="Calibri"/>
          <w:sz w:val="20"/>
          <w:szCs w:val="20"/>
          <w:vertAlign w:val="superscript"/>
        </w:rPr>
        <w:t>25</w:t>
      </w:r>
      <w:r w:rsidR="00120E26" w:rsidRPr="002F2CFF">
        <w:rPr>
          <w:rFonts w:ascii="Arial" w:hAnsi="Arial" w:cs="Calibri"/>
          <w:i/>
          <w:sz w:val="20"/>
          <w:szCs w:val="20"/>
        </w:rPr>
        <w:t xml:space="preserve"> </w:t>
      </w:r>
      <w:r w:rsidRPr="002F2CFF">
        <w:rPr>
          <w:rFonts w:ascii="Arial" w:hAnsi="Arial" w:cs="Calibri"/>
          <w:i/>
          <w:sz w:val="20"/>
          <w:szCs w:val="20"/>
        </w:rPr>
        <w:t>(2011-2012)</w:t>
      </w:r>
      <w:r w:rsidR="007C5592">
        <w:rPr>
          <w:rFonts w:ascii="Arial" w:hAnsi="Arial"/>
          <w:sz w:val="20"/>
          <w:szCs w:val="20"/>
        </w:rPr>
        <w:tab/>
      </w:r>
      <w:r w:rsidR="007C5592">
        <w:rPr>
          <w:rFonts w:ascii="Arial" w:hAnsi="Arial"/>
          <w:sz w:val="20"/>
          <w:szCs w:val="20"/>
        </w:rPr>
        <w:tab/>
      </w:r>
      <w:r w:rsidR="00120E26">
        <w:rPr>
          <w:rFonts w:ascii="Arial" w:hAnsi="Arial"/>
          <w:sz w:val="20"/>
          <w:szCs w:val="20"/>
        </w:rPr>
        <w:tab/>
      </w:r>
      <w:r w:rsidRPr="00760F87">
        <w:rPr>
          <w:rFonts w:ascii="Arial" w:hAnsi="Arial"/>
          <w:sz w:val="20"/>
          <w:szCs w:val="20"/>
        </w:rPr>
        <w:t>53</w:t>
      </w:r>
    </w:p>
    <w:p w:rsidR="002659E6" w:rsidRPr="006C2B13" w:rsidRDefault="002659E6" w:rsidP="006D01EE">
      <w:pPr>
        <w:spacing w:after="0" w:line="240" w:lineRule="auto"/>
        <w:rPr>
          <w:rFonts w:ascii="Arial" w:eastAsia="Times New Roman" w:hAnsi="Arial" w:cs="Arial"/>
          <w:sz w:val="20"/>
          <w:szCs w:val="20"/>
          <w:lang w:val="en-GB"/>
        </w:rPr>
      </w:pPr>
    </w:p>
    <w:p w:rsidR="002659E6" w:rsidRPr="0002792B" w:rsidRDefault="002659E6" w:rsidP="006D01EE">
      <w:pPr>
        <w:spacing w:after="120" w:line="240" w:lineRule="auto"/>
        <w:rPr>
          <w:rFonts w:ascii="Arial" w:hAnsi="Arial" w:cs="Arial"/>
          <w:b/>
          <w:sz w:val="20"/>
          <w:szCs w:val="20"/>
        </w:rPr>
      </w:pPr>
      <w:r w:rsidRPr="0002792B">
        <w:rPr>
          <w:rFonts w:ascii="Arial" w:hAnsi="Arial" w:cs="Arial"/>
          <w:sz w:val="20"/>
          <w:szCs w:val="20"/>
        </w:rPr>
        <w:t>A 2012 Gallup survey established that the Nigerian media market is dominated by radio and television although mobile and internet technologies are increasing in importance.</w:t>
      </w:r>
    </w:p>
    <w:p w:rsidR="002659E6" w:rsidRPr="0002792B" w:rsidRDefault="002659E6" w:rsidP="006D01EE">
      <w:pPr>
        <w:spacing w:after="120" w:line="240" w:lineRule="auto"/>
        <w:rPr>
          <w:rFonts w:ascii="Arial" w:hAnsi="Arial" w:cs="Arial"/>
          <w:sz w:val="20"/>
          <w:szCs w:val="20"/>
        </w:rPr>
      </w:pPr>
      <w:r w:rsidRPr="0002792B">
        <w:rPr>
          <w:rFonts w:ascii="Arial" w:eastAsia="Times New Roman" w:hAnsi="Arial" w:cs="Arial"/>
          <w:b/>
          <w:spacing w:val="12"/>
          <w:sz w:val="20"/>
          <w:szCs w:val="20"/>
          <w:lang w:val="en-GB" w:eastAsia="en-GB"/>
        </w:rPr>
        <w:t xml:space="preserve">Telephone: </w:t>
      </w:r>
      <w:r w:rsidRPr="0002792B">
        <w:rPr>
          <w:rFonts w:ascii="Arial" w:hAnsi="Arial" w:cs="Arial"/>
          <w:sz w:val="20"/>
          <w:szCs w:val="20"/>
        </w:rPr>
        <w:t>The extension environment is al</w:t>
      </w:r>
      <w:r w:rsidR="0069286C">
        <w:rPr>
          <w:rFonts w:ascii="Arial" w:hAnsi="Arial" w:cs="Arial"/>
          <w:sz w:val="20"/>
          <w:szCs w:val="20"/>
        </w:rPr>
        <w:t>so defined by a relatively well-</w:t>
      </w:r>
      <w:r w:rsidRPr="0002792B">
        <w:rPr>
          <w:rFonts w:ascii="Arial" w:hAnsi="Arial" w:cs="Arial"/>
          <w:sz w:val="20"/>
          <w:szCs w:val="20"/>
        </w:rPr>
        <w:t>developed information sector with good mobile phone penetration wi</w:t>
      </w:r>
      <w:r>
        <w:rPr>
          <w:rFonts w:ascii="Arial" w:hAnsi="Arial" w:cs="Arial"/>
          <w:sz w:val="20"/>
          <w:szCs w:val="20"/>
        </w:rPr>
        <w:t>th subscription levels up to 73 per 100 people</w:t>
      </w:r>
      <w:r w:rsidR="00120E26" w:rsidRPr="00120E26">
        <w:rPr>
          <w:rFonts w:ascii="Arial" w:hAnsi="Arial" w:cs="Arial"/>
          <w:sz w:val="20"/>
          <w:szCs w:val="20"/>
          <w:vertAlign w:val="superscript"/>
        </w:rPr>
        <w:t>24</w:t>
      </w:r>
      <w:r w:rsidRPr="0002792B">
        <w:rPr>
          <w:rFonts w:ascii="Arial" w:hAnsi="Arial" w:cs="Arial"/>
          <w:sz w:val="20"/>
          <w:szCs w:val="20"/>
        </w:rPr>
        <w:t xml:space="preserve">. </w:t>
      </w:r>
    </w:p>
    <w:p w:rsidR="002659E6" w:rsidRPr="006C2B13" w:rsidRDefault="002659E6" w:rsidP="006D01EE">
      <w:pPr>
        <w:spacing w:after="120" w:line="240" w:lineRule="auto"/>
        <w:rPr>
          <w:rFonts w:ascii="Arial" w:eastAsia="Times New Roman" w:hAnsi="Arial" w:cs="Arial"/>
          <w:sz w:val="20"/>
          <w:szCs w:val="20"/>
          <w:lang w:val="en-GB"/>
        </w:rPr>
      </w:pPr>
      <w:r w:rsidRPr="006C2B13">
        <w:rPr>
          <w:rFonts w:ascii="Arial" w:hAnsi="Arial" w:cs="Arial"/>
          <w:sz w:val="20"/>
          <w:szCs w:val="20"/>
        </w:rPr>
        <w:t xml:space="preserve">In 2014 the Nigerian president announced </w:t>
      </w:r>
      <w:r w:rsidRPr="006C2B13">
        <w:rPr>
          <w:rFonts w:ascii="Arial" w:eastAsia="Times New Roman" w:hAnsi="Arial" w:cs="Arial"/>
          <w:sz w:val="20"/>
          <w:szCs w:val="20"/>
          <w:shd w:val="clear" w:color="auto" w:fill="FFFFFF"/>
          <w:lang w:val="en-GB"/>
        </w:rPr>
        <w:t>that ‘in two years, 6 million farmers have received their farm inputs directly via their mobile phones.’</w:t>
      </w:r>
      <w:r w:rsidRPr="006C2B13">
        <w:rPr>
          <w:rStyle w:val="FootnoteReference"/>
          <w:rFonts w:ascii="Arial" w:eastAsia="Times New Roman" w:hAnsi="Arial" w:cs="Arial"/>
          <w:sz w:val="20"/>
          <w:szCs w:val="20"/>
          <w:shd w:val="clear" w:color="auto" w:fill="FFFFFF"/>
          <w:lang w:val="en-GB"/>
        </w:rPr>
        <w:footnoteReference w:id="26"/>
      </w:r>
    </w:p>
    <w:p w:rsidR="00C90DB2" w:rsidRDefault="002659E6" w:rsidP="006D01EE">
      <w:pPr>
        <w:spacing w:after="120" w:line="240" w:lineRule="auto"/>
        <w:rPr>
          <w:rFonts w:ascii="Arial" w:eastAsiaTheme="minorEastAsia" w:hAnsi="Arial" w:cs="Arial"/>
          <w:b/>
          <w:sz w:val="20"/>
          <w:szCs w:val="20"/>
          <w:lang w:val="en-GB"/>
        </w:rPr>
      </w:pPr>
      <w:r w:rsidRPr="0002792B">
        <w:rPr>
          <w:rFonts w:ascii="Arial" w:eastAsiaTheme="minorEastAsia" w:hAnsi="Arial" w:cs="Arial"/>
          <w:b/>
          <w:sz w:val="20"/>
          <w:szCs w:val="20"/>
          <w:lang w:val="en-GB"/>
        </w:rPr>
        <w:t xml:space="preserve">Broadcast media: </w:t>
      </w:r>
    </w:p>
    <w:p w:rsidR="00C90DB2" w:rsidRDefault="00C90DB2" w:rsidP="00C90DB2">
      <w:pPr>
        <w:spacing w:after="120" w:line="240" w:lineRule="auto"/>
        <w:rPr>
          <w:rFonts w:ascii="Arial" w:hAnsi="Arial" w:cs="Arial"/>
          <w:sz w:val="20"/>
          <w:szCs w:val="20"/>
        </w:rPr>
      </w:pPr>
      <w:r w:rsidRPr="0002792B">
        <w:rPr>
          <w:rFonts w:ascii="Arial" w:hAnsi="Arial" w:cs="Arial"/>
          <w:sz w:val="20"/>
          <w:szCs w:val="20"/>
        </w:rPr>
        <w:t>Radio enjoys the largest portion of the audience</w:t>
      </w:r>
      <w:r>
        <w:rPr>
          <w:rFonts w:ascii="Arial" w:hAnsi="Arial" w:cs="Arial"/>
          <w:sz w:val="20"/>
          <w:szCs w:val="20"/>
        </w:rPr>
        <w:t>,</w:t>
      </w:r>
      <w:r w:rsidRPr="0002792B">
        <w:rPr>
          <w:rFonts w:ascii="Arial" w:hAnsi="Arial" w:cs="Arial"/>
          <w:sz w:val="20"/>
          <w:szCs w:val="20"/>
        </w:rPr>
        <w:t xml:space="preserve"> 92%</w:t>
      </w:r>
      <w:r>
        <w:rPr>
          <w:rFonts w:ascii="Arial" w:hAnsi="Arial" w:cs="Arial"/>
          <w:sz w:val="20"/>
          <w:szCs w:val="20"/>
        </w:rPr>
        <w:t>,</w:t>
      </w:r>
      <w:r w:rsidRPr="0002792B">
        <w:rPr>
          <w:rFonts w:ascii="Arial" w:hAnsi="Arial" w:cs="Arial"/>
          <w:sz w:val="20"/>
          <w:szCs w:val="20"/>
        </w:rPr>
        <w:t xml:space="preserve"> with TV following closely at 87.4%. Though incidence of radio use is similar in urban and rural environments, Nigerians who live in cities are more likely than those in rural areas to watch television.</w:t>
      </w:r>
    </w:p>
    <w:p w:rsidR="00C90DB2" w:rsidRDefault="00C90DB2" w:rsidP="00120E26">
      <w:pPr>
        <w:pStyle w:val="ListParagraph"/>
        <w:spacing w:after="120" w:line="240" w:lineRule="auto"/>
        <w:ind w:left="0"/>
        <w:contextualSpacing w:val="0"/>
        <w:rPr>
          <w:rFonts w:ascii="Arial" w:hAnsi="Arial" w:cs="Arial"/>
          <w:sz w:val="20"/>
          <w:szCs w:val="20"/>
        </w:rPr>
      </w:pPr>
      <w:r>
        <w:rPr>
          <w:rFonts w:ascii="Arial" w:hAnsi="Arial" w:cs="Arial"/>
          <w:sz w:val="20"/>
          <w:szCs w:val="20"/>
        </w:rPr>
        <w:t>R</w:t>
      </w:r>
      <w:r w:rsidRPr="00082669">
        <w:rPr>
          <w:rFonts w:ascii="Arial" w:hAnsi="Arial" w:cs="Arial"/>
          <w:sz w:val="20"/>
          <w:szCs w:val="20"/>
        </w:rPr>
        <w:t xml:space="preserve">adio stations </w:t>
      </w:r>
      <w:r>
        <w:rPr>
          <w:rFonts w:ascii="Arial" w:hAnsi="Arial" w:cs="Arial"/>
          <w:sz w:val="20"/>
          <w:szCs w:val="20"/>
        </w:rPr>
        <w:t>are effective at</w:t>
      </w:r>
      <w:r w:rsidRPr="00082669">
        <w:rPr>
          <w:rFonts w:ascii="Arial" w:hAnsi="Arial" w:cs="Arial"/>
          <w:sz w:val="20"/>
          <w:szCs w:val="20"/>
        </w:rPr>
        <w:t xml:space="preserve"> offering regular and consistent </w:t>
      </w:r>
      <w:proofErr w:type="spellStart"/>
      <w:r w:rsidRPr="00082669">
        <w:rPr>
          <w:rFonts w:ascii="Arial" w:hAnsi="Arial" w:cs="Arial"/>
          <w:sz w:val="20"/>
          <w:szCs w:val="20"/>
        </w:rPr>
        <w:t>programmes</w:t>
      </w:r>
      <w:proofErr w:type="spellEnd"/>
      <w:r w:rsidRPr="00082669">
        <w:rPr>
          <w:rFonts w:ascii="Arial" w:hAnsi="Arial" w:cs="Arial"/>
          <w:sz w:val="20"/>
          <w:szCs w:val="20"/>
        </w:rPr>
        <w:t xml:space="preserve"> on agriculture</w:t>
      </w:r>
      <w:r w:rsidR="00120E26">
        <w:rPr>
          <w:rFonts w:ascii="Arial" w:hAnsi="Arial" w:cs="Arial"/>
          <w:sz w:val="20"/>
          <w:szCs w:val="20"/>
        </w:rPr>
        <w:t>; f</w:t>
      </w:r>
      <w:r w:rsidRPr="00082669">
        <w:rPr>
          <w:rFonts w:ascii="Arial" w:hAnsi="Arial" w:cs="Arial"/>
          <w:sz w:val="20"/>
          <w:szCs w:val="20"/>
        </w:rPr>
        <w:t xml:space="preserve">or example, Ray Power FM offers a weekly </w:t>
      </w:r>
      <w:r w:rsidRPr="00082669">
        <w:rPr>
          <w:rFonts w:ascii="Arial" w:hAnsi="Arial" w:cs="Arial"/>
          <w:i/>
          <w:sz w:val="20"/>
          <w:szCs w:val="20"/>
        </w:rPr>
        <w:t>Farmers Diary</w:t>
      </w:r>
      <w:r w:rsidRPr="00082669">
        <w:rPr>
          <w:rFonts w:ascii="Arial" w:hAnsi="Arial" w:cs="Arial"/>
          <w:sz w:val="20"/>
          <w:szCs w:val="20"/>
        </w:rPr>
        <w:t xml:space="preserve">, while Vision FM offers </w:t>
      </w:r>
      <w:r w:rsidRPr="00082669">
        <w:rPr>
          <w:rFonts w:ascii="Arial" w:hAnsi="Arial" w:cs="Arial"/>
          <w:i/>
          <w:sz w:val="20"/>
          <w:szCs w:val="20"/>
        </w:rPr>
        <w:t>Farming Today</w:t>
      </w:r>
      <w:r w:rsidRPr="00082669">
        <w:rPr>
          <w:rFonts w:ascii="Arial" w:hAnsi="Arial" w:cs="Arial"/>
          <w:sz w:val="20"/>
          <w:szCs w:val="20"/>
        </w:rPr>
        <w:t xml:space="preserve">. </w:t>
      </w:r>
    </w:p>
    <w:p w:rsidR="00C90DB2" w:rsidRPr="00082669" w:rsidRDefault="00C90DB2" w:rsidP="00120E26">
      <w:pPr>
        <w:pStyle w:val="ListParagraph"/>
        <w:spacing w:after="120" w:line="240" w:lineRule="auto"/>
        <w:ind w:left="0"/>
        <w:contextualSpacing w:val="0"/>
        <w:rPr>
          <w:rFonts w:ascii="Arial" w:hAnsi="Arial" w:cs="Arial"/>
          <w:sz w:val="20"/>
          <w:szCs w:val="20"/>
        </w:rPr>
      </w:pPr>
      <w:r w:rsidRPr="00082669">
        <w:rPr>
          <w:rFonts w:ascii="Arial" w:hAnsi="Arial" w:cs="Arial"/>
          <w:sz w:val="20"/>
          <w:szCs w:val="20"/>
        </w:rPr>
        <w:t xml:space="preserve">Various radio stations (both private and public) across the state capitals offer radio shows on various topics related to agro-based income generating activities, such as </w:t>
      </w:r>
      <w:r w:rsidRPr="00082669">
        <w:rPr>
          <w:rFonts w:ascii="Arial" w:hAnsi="Arial" w:cs="Arial"/>
          <w:i/>
          <w:sz w:val="20"/>
          <w:szCs w:val="20"/>
        </w:rPr>
        <w:t>Snail Farming</w:t>
      </w:r>
      <w:r w:rsidRPr="00082669">
        <w:rPr>
          <w:rFonts w:ascii="Arial" w:hAnsi="Arial" w:cs="Arial"/>
          <w:sz w:val="20"/>
          <w:szCs w:val="20"/>
        </w:rPr>
        <w:t xml:space="preserve">, or </w:t>
      </w:r>
      <w:r w:rsidRPr="00082669">
        <w:rPr>
          <w:rFonts w:ascii="Arial" w:hAnsi="Arial" w:cs="Arial"/>
          <w:i/>
          <w:sz w:val="20"/>
          <w:szCs w:val="20"/>
        </w:rPr>
        <w:t xml:space="preserve">Uses of </w:t>
      </w:r>
      <w:proofErr w:type="spellStart"/>
      <w:r w:rsidRPr="00082669">
        <w:rPr>
          <w:rFonts w:ascii="Arial" w:hAnsi="Arial" w:cs="Arial"/>
          <w:i/>
          <w:sz w:val="20"/>
          <w:szCs w:val="20"/>
        </w:rPr>
        <w:t>Moringa</w:t>
      </w:r>
      <w:proofErr w:type="spellEnd"/>
      <w:r w:rsidRPr="00082669">
        <w:rPr>
          <w:rFonts w:ascii="Arial" w:hAnsi="Arial" w:cs="Arial"/>
          <w:sz w:val="20"/>
          <w:szCs w:val="20"/>
        </w:rPr>
        <w:t>.  Shows on the use of fertilizers or ISFM or how to make compost organic manure are very rare, if ever done.</w:t>
      </w:r>
    </w:p>
    <w:p w:rsidR="00082669" w:rsidRPr="00082669" w:rsidRDefault="00082669" w:rsidP="00E47294">
      <w:pPr>
        <w:pStyle w:val="ListParagraph"/>
        <w:spacing w:after="0" w:line="240" w:lineRule="auto"/>
        <w:ind w:left="0"/>
        <w:rPr>
          <w:rFonts w:ascii="Arial" w:hAnsi="Arial" w:cs="Arial"/>
          <w:sz w:val="20"/>
          <w:szCs w:val="20"/>
        </w:rPr>
      </w:pPr>
      <w:r w:rsidRPr="00082669">
        <w:rPr>
          <w:rFonts w:ascii="Arial" w:hAnsi="Arial" w:cs="Arial"/>
          <w:sz w:val="20"/>
          <w:szCs w:val="20"/>
        </w:rPr>
        <w:t xml:space="preserve">Media focus on agriculture has increased in recent years. The Nigerian Television Authority (NTA) has </w:t>
      </w:r>
      <w:r w:rsidR="00120E26">
        <w:rPr>
          <w:rFonts w:ascii="Arial" w:hAnsi="Arial" w:cs="Arial"/>
          <w:sz w:val="20"/>
          <w:szCs w:val="20"/>
        </w:rPr>
        <w:t xml:space="preserve">a </w:t>
      </w:r>
      <w:r w:rsidRPr="00082669">
        <w:rPr>
          <w:rFonts w:ascii="Arial" w:hAnsi="Arial" w:cs="Arial"/>
          <w:sz w:val="20"/>
          <w:szCs w:val="20"/>
        </w:rPr>
        <w:t xml:space="preserve">regular </w:t>
      </w:r>
      <w:proofErr w:type="spellStart"/>
      <w:r w:rsidRPr="00082669">
        <w:rPr>
          <w:rFonts w:ascii="Arial" w:hAnsi="Arial" w:cs="Arial"/>
          <w:sz w:val="20"/>
          <w:szCs w:val="20"/>
        </w:rPr>
        <w:t>programme</w:t>
      </w:r>
      <w:proofErr w:type="spellEnd"/>
      <w:r w:rsidRPr="00082669">
        <w:rPr>
          <w:rFonts w:ascii="Arial" w:hAnsi="Arial" w:cs="Arial"/>
          <w:sz w:val="20"/>
          <w:szCs w:val="20"/>
        </w:rPr>
        <w:t xml:space="preserve"> called ‘Tuesday </w:t>
      </w:r>
      <w:r w:rsidR="00120E26">
        <w:rPr>
          <w:rFonts w:ascii="Arial" w:hAnsi="Arial" w:cs="Arial"/>
          <w:sz w:val="20"/>
          <w:szCs w:val="20"/>
        </w:rPr>
        <w:t xml:space="preserve">Live’, which normally features </w:t>
      </w:r>
      <w:r w:rsidRPr="00082669">
        <w:rPr>
          <w:rFonts w:ascii="Arial" w:hAnsi="Arial" w:cs="Arial"/>
          <w:sz w:val="20"/>
          <w:szCs w:val="20"/>
        </w:rPr>
        <w:t xml:space="preserve">talking heads rather than field-based </w:t>
      </w:r>
      <w:r w:rsidRPr="00082669">
        <w:rPr>
          <w:rFonts w:ascii="Arial" w:hAnsi="Arial" w:cs="Arial"/>
          <w:sz w:val="20"/>
          <w:szCs w:val="20"/>
        </w:rPr>
        <w:lastRenderedPageBreak/>
        <w:t xml:space="preserve">reporting of innovations. </w:t>
      </w:r>
      <w:r w:rsidR="00120E26">
        <w:rPr>
          <w:rFonts w:ascii="Arial" w:hAnsi="Arial" w:cs="Arial"/>
          <w:sz w:val="20"/>
          <w:szCs w:val="20"/>
        </w:rPr>
        <w:t xml:space="preserve">The </w:t>
      </w:r>
      <w:r w:rsidRPr="00082669">
        <w:rPr>
          <w:rFonts w:ascii="Arial" w:hAnsi="Arial" w:cs="Arial"/>
          <w:sz w:val="20"/>
          <w:szCs w:val="20"/>
        </w:rPr>
        <w:t>ta</w:t>
      </w:r>
      <w:r w:rsidR="00120E26">
        <w:rPr>
          <w:rFonts w:ascii="Arial" w:hAnsi="Arial" w:cs="Arial"/>
          <w:sz w:val="20"/>
          <w:szCs w:val="20"/>
        </w:rPr>
        <w:t>lking heads</w:t>
      </w:r>
      <w:r w:rsidRPr="00082669">
        <w:rPr>
          <w:rFonts w:ascii="Arial" w:hAnsi="Arial" w:cs="Arial"/>
          <w:sz w:val="20"/>
          <w:szCs w:val="20"/>
        </w:rPr>
        <w:t xml:space="preserve"> are normally politicians and the </w:t>
      </w:r>
      <w:proofErr w:type="spellStart"/>
      <w:r w:rsidRPr="00082669">
        <w:rPr>
          <w:rFonts w:ascii="Arial" w:hAnsi="Arial" w:cs="Arial"/>
          <w:sz w:val="20"/>
          <w:szCs w:val="20"/>
        </w:rPr>
        <w:t>programmes</w:t>
      </w:r>
      <w:proofErr w:type="spellEnd"/>
      <w:r w:rsidRPr="00082669">
        <w:rPr>
          <w:rFonts w:ascii="Arial" w:hAnsi="Arial" w:cs="Arial"/>
          <w:sz w:val="20"/>
          <w:szCs w:val="20"/>
        </w:rPr>
        <w:t xml:space="preserve"> are generally boring.  </w:t>
      </w:r>
    </w:p>
    <w:p w:rsidR="00082669" w:rsidRPr="0002792B" w:rsidRDefault="00082669" w:rsidP="00E47294">
      <w:pPr>
        <w:spacing w:after="0" w:line="240" w:lineRule="auto"/>
        <w:rPr>
          <w:rFonts w:ascii="Arial" w:eastAsiaTheme="minorEastAsia" w:hAnsi="Arial" w:cs="Arial"/>
          <w:sz w:val="20"/>
          <w:szCs w:val="20"/>
          <w:lang w:val="en-GB"/>
        </w:rPr>
      </w:pPr>
    </w:p>
    <w:p w:rsidR="00485844" w:rsidRDefault="00E47294" w:rsidP="00485844">
      <w:pPr>
        <w:autoSpaceDE w:val="0"/>
        <w:autoSpaceDN w:val="0"/>
        <w:adjustRightInd w:val="0"/>
        <w:spacing w:after="120" w:line="240" w:lineRule="auto"/>
        <w:rPr>
          <w:rFonts w:ascii="Arial" w:hAnsi="Arial" w:cs="Arial"/>
          <w:sz w:val="20"/>
          <w:szCs w:val="20"/>
        </w:rPr>
      </w:pPr>
      <w:r>
        <w:rPr>
          <w:rFonts w:ascii="Arial" w:hAnsi="Arial" w:cs="Arial"/>
          <w:b/>
          <w:sz w:val="20"/>
          <w:szCs w:val="20"/>
          <w:lang w:val="en-GB"/>
        </w:rPr>
        <w:t>Internet user and social media</w:t>
      </w:r>
      <w:r w:rsidR="002659E6" w:rsidRPr="0002792B">
        <w:rPr>
          <w:rFonts w:ascii="Arial" w:hAnsi="Arial" w:cs="Arial"/>
          <w:b/>
          <w:sz w:val="20"/>
          <w:szCs w:val="20"/>
          <w:lang w:val="en-GB"/>
        </w:rPr>
        <w:t>:</w:t>
      </w:r>
      <w:r w:rsidR="00120E26">
        <w:rPr>
          <w:rFonts w:ascii="Arial" w:hAnsi="Arial" w:cs="Arial"/>
          <w:b/>
          <w:sz w:val="20"/>
          <w:szCs w:val="20"/>
          <w:lang w:val="en-GB"/>
        </w:rPr>
        <w:t xml:space="preserve"> </w:t>
      </w:r>
      <w:r w:rsidR="002659E6" w:rsidRPr="0002792B">
        <w:rPr>
          <w:rFonts w:ascii="Arial" w:hAnsi="Arial" w:cs="Arial"/>
          <w:sz w:val="20"/>
          <w:szCs w:val="20"/>
        </w:rPr>
        <w:t xml:space="preserve">Internet </w:t>
      </w:r>
      <w:r w:rsidR="00D10393">
        <w:rPr>
          <w:rFonts w:ascii="Arial" w:hAnsi="Arial" w:cs="Arial"/>
          <w:sz w:val="20"/>
          <w:szCs w:val="20"/>
        </w:rPr>
        <w:t>penetration</w:t>
      </w:r>
      <w:r w:rsidR="002659E6" w:rsidRPr="0002792B">
        <w:rPr>
          <w:rFonts w:ascii="Arial" w:hAnsi="Arial" w:cs="Arial"/>
          <w:sz w:val="20"/>
          <w:szCs w:val="20"/>
        </w:rPr>
        <w:t xml:space="preserve"> is estimated at </w:t>
      </w:r>
      <w:r w:rsidR="00D10393">
        <w:rPr>
          <w:rFonts w:ascii="Arial" w:hAnsi="Arial" w:cs="Arial"/>
          <w:sz w:val="20"/>
          <w:szCs w:val="20"/>
        </w:rPr>
        <w:t>between 30%</w:t>
      </w:r>
      <w:r w:rsidR="00D10393">
        <w:rPr>
          <w:rStyle w:val="FootnoteReference"/>
          <w:rFonts w:ascii="Arial" w:hAnsi="Arial" w:cs="Arial"/>
          <w:sz w:val="20"/>
          <w:szCs w:val="20"/>
        </w:rPr>
        <w:footnoteReference w:id="27"/>
      </w:r>
      <w:r w:rsidR="00D10393">
        <w:rPr>
          <w:rFonts w:ascii="Arial" w:hAnsi="Arial" w:cs="Arial"/>
          <w:sz w:val="20"/>
          <w:szCs w:val="20"/>
        </w:rPr>
        <w:t xml:space="preserve"> (50 million users) and 38</w:t>
      </w:r>
      <w:r w:rsidR="002659E6" w:rsidRPr="0002792B">
        <w:rPr>
          <w:rFonts w:ascii="Arial" w:hAnsi="Arial" w:cs="Arial"/>
          <w:sz w:val="20"/>
          <w:szCs w:val="20"/>
        </w:rPr>
        <w:t>%</w:t>
      </w:r>
      <w:r w:rsidR="00D10393">
        <w:rPr>
          <w:rStyle w:val="FootnoteReference"/>
          <w:rFonts w:ascii="Arial" w:hAnsi="Arial" w:cs="Arial"/>
          <w:sz w:val="20"/>
          <w:szCs w:val="20"/>
        </w:rPr>
        <w:footnoteReference w:id="28"/>
      </w:r>
      <w:r w:rsidR="002659E6" w:rsidRPr="0002792B">
        <w:rPr>
          <w:rFonts w:ascii="Arial" w:hAnsi="Arial" w:cs="Arial"/>
          <w:sz w:val="20"/>
          <w:szCs w:val="20"/>
        </w:rPr>
        <w:t xml:space="preserve"> of the population – there are more internet users in Nigeria than any other Africa country (Internet World Stats 2014)</w:t>
      </w:r>
      <w:r w:rsidR="002659E6" w:rsidRPr="0002792B">
        <w:rPr>
          <w:rStyle w:val="FootnoteReference"/>
          <w:rFonts w:ascii="Arial" w:hAnsi="Arial" w:cs="Arial"/>
          <w:sz w:val="20"/>
          <w:szCs w:val="20"/>
        </w:rPr>
        <w:footnoteReference w:id="29"/>
      </w:r>
      <w:r w:rsidR="002659E6" w:rsidRPr="0002792B">
        <w:rPr>
          <w:rFonts w:ascii="Arial" w:hAnsi="Arial" w:cs="Arial"/>
          <w:sz w:val="20"/>
          <w:szCs w:val="20"/>
        </w:rPr>
        <w:t>: 23% of Nigerian’s use Facebook (USC 2012)</w:t>
      </w:r>
      <w:r w:rsidR="002659E6" w:rsidRPr="0002792B">
        <w:rPr>
          <w:rStyle w:val="FootnoteReference"/>
          <w:rFonts w:ascii="Arial" w:hAnsi="Arial" w:cs="Arial"/>
          <w:sz w:val="20"/>
          <w:szCs w:val="20"/>
        </w:rPr>
        <w:footnoteReference w:id="30"/>
      </w:r>
      <w:r w:rsidR="002659E6" w:rsidRPr="0002792B">
        <w:rPr>
          <w:rFonts w:ascii="Arial" w:hAnsi="Arial" w:cs="Arial"/>
          <w:sz w:val="20"/>
          <w:szCs w:val="20"/>
        </w:rPr>
        <w:t xml:space="preserve">. </w:t>
      </w:r>
    </w:p>
    <w:p w:rsidR="002659E6" w:rsidRDefault="002659E6" w:rsidP="00485844">
      <w:pPr>
        <w:autoSpaceDE w:val="0"/>
        <w:autoSpaceDN w:val="0"/>
        <w:adjustRightInd w:val="0"/>
        <w:spacing w:after="120" w:line="240" w:lineRule="auto"/>
        <w:rPr>
          <w:rFonts w:ascii="Arial" w:hAnsi="Arial" w:cs="Arial"/>
          <w:sz w:val="20"/>
          <w:szCs w:val="20"/>
        </w:rPr>
      </w:pPr>
      <w:r w:rsidRPr="0002792B">
        <w:rPr>
          <w:rFonts w:ascii="Arial" w:hAnsi="Arial" w:cs="Arial"/>
          <w:sz w:val="20"/>
          <w:szCs w:val="20"/>
        </w:rPr>
        <w:t xml:space="preserve">Recent years have seen significant growth in connectivity and ICT use in the country. Internet use is strong across the board but varies sharply by demographic. Growth of </w:t>
      </w:r>
      <w:r w:rsidR="00485844">
        <w:rPr>
          <w:rFonts w:ascii="Arial" w:hAnsi="Arial" w:cs="Arial"/>
          <w:sz w:val="20"/>
          <w:szCs w:val="20"/>
        </w:rPr>
        <w:t>i</w:t>
      </w:r>
      <w:r w:rsidRPr="0002792B">
        <w:rPr>
          <w:rFonts w:ascii="Arial" w:hAnsi="Arial" w:cs="Arial"/>
          <w:sz w:val="20"/>
          <w:szCs w:val="20"/>
        </w:rPr>
        <w:t>nternet is largely due to uptake of mobile web and a shift from café-centered internet culture. Mobiles are widely used for non-voice activities, especially SMS, web, social networ</w:t>
      </w:r>
      <w:r w:rsidR="002F6880">
        <w:rPr>
          <w:rFonts w:ascii="Arial" w:hAnsi="Arial" w:cs="Arial"/>
          <w:sz w:val="20"/>
          <w:szCs w:val="20"/>
        </w:rPr>
        <w:t xml:space="preserve">king and a strong trend in news </w:t>
      </w:r>
      <w:r w:rsidRPr="0002792B">
        <w:rPr>
          <w:rFonts w:ascii="Arial" w:hAnsi="Arial" w:cs="Arial"/>
          <w:sz w:val="20"/>
          <w:szCs w:val="20"/>
        </w:rPr>
        <w:t>sharing by SMS and social networking (BBG, Gallop 2012)</w:t>
      </w:r>
      <w:r w:rsidRPr="0002792B">
        <w:rPr>
          <w:rStyle w:val="FootnoteReference"/>
          <w:rFonts w:ascii="Arial" w:hAnsi="Arial" w:cs="Arial"/>
          <w:sz w:val="20"/>
          <w:szCs w:val="20"/>
        </w:rPr>
        <w:footnoteReference w:id="31"/>
      </w:r>
      <w:r w:rsidR="00E47294">
        <w:rPr>
          <w:rFonts w:ascii="Arial" w:hAnsi="Arial" w:cs="Arial"/>
          <w:sz w:val="20"/>
          <w:szCs w:val="20"/>
        </w:rPr>
        <w:t>.</w:t>
      </w:r>
    </w:p>
    <w:p w:rsidR="00E47294" w:rsidRDefault="00E47294" w:rsidP="006D01EE">
      <w:pPr>
        <w:autoSpaceDE w:val="0"/>
        <w:autoSpaceDN w:val="0"/>
        <w:adjustRightInd w:val="0"/>
        <w:spacing w:after="120" w:line="240" w:lineRule="auto"/>
        <w:rPr>
          <w:rFonts w:ascii="Arial" w:hAnsi="Arial" w:cs="Arial"/>
          <w:sz w:val="20"/>
          <w:szCs w:val="20"/>
        </w:rPr>
      </w:pPr>
      <w:r w:rsidRPr="00E47294">
        <w:rPr>
          <w:rFonts w:ascii="Arial" w:hAnsi="Arial" w:cs="Arial"/>
          <w:sz w:val="20"/>
          <w:szCs w:val="20"/>
        </w:rPr>
        <w:t>Facebook numbers have been on a slow decline</w:t>
      </w:r>
      <w:r w:rsidR="00485844">
        <w:rPr>
          <w:rFonts w:ascii="Arial" w:hAnsi="Arial" w:cs="Arial"/>
          <w:sz w:val="20"/>
          <w:szCs w:val="20"/>
        </w:rPr>
        <w:t xml:space="preserve">. Meanwhile there has been an </w:t>
      </w:r>
      <w:r w:rsidRPr="00E47294">
        <w:rPr>
          <w:rFonts w:ascii="Arial" w:hAnsi="Arial" w:cs="Arial"/>
          <w:sz w:val="20"/>
          <w:szCs w:val="20"/>
        </w:rPr>
        <w:t xml:space="preserve">upsurge </w:t>
      </w:r>
      <w:r w:rsidR="00485844">
        <w:rPr>
          <w:rFonts w:ascii="Arial" w:hAnsi="Arial" w:cs="Arial"/>
          <w:sz w:val="20"/>
          <w:szCs w:val="20"/>
        </w:rPr>
        <w:t>in</w:t>
      </w:r>
      <w:r w:rsidRPr="00E47294">
        <w:rPr>
          <w:rFonts w:ascii="Arial" w:hAnsi="Arial" w:cs="Arial"/>
          <w:sz w:val="20"/>
          <w:szCs w:val="20"/>
        </w:rPr>
        <w:t xml:space="preserve"> mobile chat apps such as </w:t>
      </w:r>
      <w:proofErr w:type="spellStart"/>
      <w:r w:rsidRPr="00E47294">
        <w:rPr>
          <w:rFonts w:ascii="Arial" w:hAnsi="Arial" w:cs="Arial"/>
          <w:sz w:val="20"/>
          <w:szCs w:val="20"/>
        </w:rPr>
        <w:t>Eskimi</w:t>
      </w:r>
      <w:proofErr w:type="spellEnd"/>
      <w:r w:rsidRPr="00E47294">
        <w:rPr>
          <w:rFonts w:ascii="Arial" w:hAnsi="Arial" w:cs="Arial"/>
          <w:sz w:val="20"/>
          <w:szCs w:val="20"/>
        </w:rPr>
        <w:t>, 2go</w:t>
      </w:r>
      <w:r w:rsidR="00485844">
        <w:rPr>
          <w:rFonts w:ascii="Arial" w:hAnsi="Arial" w:cs="Arial"/>
          <w:sz w:val="20"/>
          <w:szCs w:val="20"/>
        </w:rPr>
        <w:t xml:space="preserve"> and </w:t>
      </w:r>
      <w:proofErr w:type="spellStart"/>
      <w:r w:rsidRPr="00E47294">
        <w:rPr>
          <w:rFonts w:ascii="Arial" w:hAnsi="Arial" w:cs="Arial"/>
          <w:sz w:val="20"/>
          <w:szCs w:val="20"/>
        </w:rPr>
        <w:t>Whatsapp</w:t>
      </w:r>
      <w:proofErr w:type="spellEnd"/>
      <w:r w:rsidRPr="00E47294">
        <w:rPr>
          <w:rFonts w:ascii="Arial" w:hAnsi="Arial" w:cs="Arial"/>
          <w:sz w:val="20"/>
          <w:szCs w:val="20"/>
        </w:rPr>
        <w:t>. Mobile chat apps perform well on lower bandwidths and use less data. Mobile chat is also a cheaper alternative to SMS.</w:t>
      </w:r>
      <w:r>
        <w:rPr>
          <w:rStyle w:val="FootnoteReference"/>
          <w:rFonts w:ascii="Arial" w:hAnsi="Arial" w:cs="Arial"/>
          <w:sz w:val="20"/>
          <w:szCs w:val="20"/>
        </w:rPr>
        <w:footnoteReference w:id="32"/>
      </w:r>
    </w:p>
    <w:p w:rsidR="00485844" w:rsidRPr="00485844" w:rsidRDefault="00485844" w:rsidP="00C90DB2">
      <w:pPr>
        <w:pStyle w:val="ListParagraph"/>
        <w:spacing w:after="0" w:line="240" w:lineRule="auto"/>
        <w:ind w:left="0"/>
        <w:rPr>
          <w:rFonts w:ascii="Arial" w:hAnsi="Arial" w:cs="Arial"/>
          <w:b/>
          <w:sz w:val="20"/>
          <w:szCs w:val="20"/>
        </w:rPr>
      </w:pPr>
      <w:r w:rsidRPr="00485844">
        <w:rPr>
          <w:rFonts w:ascii="Arial" w:hAnsi="Arial" w:cs="Arial"/>
          <w:b/>
          <w:sz w:val="20"/>
          <w:szCs w:val="20"/>
        </w:rPr>
        <w:t>Newspapers</w:t>
      </w:r>
    </w:p>
    <w:p w:rsidR="00C90DB2" w:rsidRPr="00A60ABD" w:rsidRDefault="00C90DB2" w:rsidP="00C90DB2">
      <w:pPr>
        <w:pStyle w:val="ListParagraph"/>
        <w:spacing w:after="0" w:line="240" w:lineRule="auto"/>
        <w:ind w:left="0"/>
        <w:rPr>
          <w:rFonts w:ascii="Arial" w:hAnsi="Arial" w:cs="Arial"/>
          <w:sz w:val="20"/>
          <w:szCs w:val="20"/>
        </w:rPr>
      </w:pPr>
      <w:r w:rsidRPr="00A60ABD">
        <w:rPr>
          <w:rFonts w:ascii="Arial" w:hAnsi="Arial" w:cs="Arial"/>
          <w:sz w:val="20"/>
          <w:szCs w:val="20"/>
        </w:rPr>
        <w:t xml:space="preserve">Newspapers are offering more interesting varieties of coverage on agriculture to the reading public. The Guardian features </w:t>
      </w:r>
      <w:proofErr w:type="spellStart"/>
      <w:r w:rsidRPr="00A60ABD">
        <w:rPr>
          <w:rFonts w:ascii="Arial" w:hAnsi="Arial" w:cs="Arial"/>
          <w:i/>
          <w:sz w:val="20"/>
          <w:szCs w:val="20"/>
        </w:rPr>
        <w:t>AgriCare</w:t>
      </w:r>
      <w:proofErr w:type="spellEnd"/>
      <w:r w:rsidRPr="00A60ABD">
        <w:rPr>
          <w:rFonts w:ascii="Arial" w:hAnsi="Arial" w:cs="Arial"/>
          <w:sz w:val="20"/>
          <w:szCs w:val="20"/>
        </w:rPr>
        <w:t xml:space="preserve"> on Thursdays, but also gives strong coverage to agriculture during the rest of the week. The Nation devotes a number of pages to agriculture reports on Fridays, but has also done front-page reports on agricult</w:t>
      </w:r>
      <w:r w:rsidR="00485844">
        <w:rPr>
          <w:rFonts w:ascii="Arial" w:hAnsi="Arial" w:cs="Arial"/>
          <w:sz w:val="20"/>
          <w:szCs w:val="20"/>
        </w:rPr>
        <w:t xml:space="preserve">ure on other days of the week. </w:t>
      </w:r>
      <w:r w:rsidRPr="00A60ABD">
        <w:rPr>
          <w:rFonts w:ascii="Arial" w:hAnsi="Arial" w:cs="Arial"/>
          <w:sz w:val="20"/>
          <w:szCs w:val="20"/>
        </w:rPr>
        <w:t>Other newspapers that have limited circulation are covering agriculture in their respective catchment areas.</w:t>
      </w:r>
    </w:p>
    <w:p w:rsidR="002F2CFF" w:rsidRPr="0002792B" w:rsidRDefault="002F2CFF" w:rsidP="006D01EE">
      <w:pPr>
        <w:autoSpaceDE w:val="0"/>
        <w:autoSpaceDN w:val="0"/>
        <w:adjustRightInd w:val="0"/>
        <w:spacing w:after="120" w:line="240" w:lineRule="auto"/>
        <w:rPr>
          <w:rFonts w:ascii="Arial" w:hAnsi="Arial" w:cs="Arial"/>
          <w:sz w:val="20"/>
          <w:szCs w:val="20"/>
        </w:rPr>
      </w:pPr>
    </w:p>
    <w:p w:rsidR="002659E6" w:rsidRPr="0002792B" w:rsidRDefault="002659E6" w:rsidP="006D01EE">
      <w:pPr>
        <w:spacing w:after="0" w:line="240" w:lineRule="auto"/>
        <w:rPr>
          <w:rFonts w:ascii="Arial" w:hAnsi="Arial" w:cs="Arial"/>
          <w:b/>
          <w:sz w:val="20"/>
          <w:szCs w:val="20"/>
        </w:rPr>
      </w:pPr>
      <w:r w:rsidRPr="006C2B13">
        <w:rPr>
          <w:rFonts w:ascii="Arial" w:hAnsi="Arial" w:cs="Arial"/>
          <w:b/>
          <w:color w:val="92D050"/>
          <w:sz w:val="24"/>
          <w:szCs w:val="24"/>
        </w:rPr>
        <w:t>Youth Initiatives</w:t>
      </w:r>
    </w:p>
    <w:p w:rsidR="002659E6" w:rsidRDefault="002659E6" w:rsidP="006D01EE">
      <w:pPr>
        <w:spacing w:after="120" w:line="240" w:lineRule="auto"/>
        <w:rPr>
          <w:rFonts w:ascii="Arial" w:hAnsi="Arial" w:cs="Arial"/>
          <w:sz w:val="20"/>
          <w:szCs w:val="20"/>
        </w:rPr>
      </w:pPr>
      <w:r w:rsidRPr="0002792B">
        <w:rPr>
          <w:rFonts w:ascii="Arial" w:hAnsi="Arial" w:cs="Arial"/>
          <w:sz w:val="20"/>
          <w:szCs w:val="20"/>
        </w:rPr>
        <w:t>62.5% of the population is under 24 years old: median age is 18.2</w:t>
      </w:r>
      <w:r w:rsidR="00485844" w:rsidRPr="00485844">
        <w:rPr>
          <w:rFonts w:ascii="Arial" w:hAnsi="Arial" w:cs="Arial"/>
          <w:sz w:val="20"/>
          <w:szCs w:val="20"/>
          <w:vertAlign w:val="superscript"/>
        </w:rPr>
        <w:t>1</w:t>
      </w:r>
      <w:r w:rsidRPr="0002792B">
        <w:rPr>
          <w:rFonts w:ascii="Arial" w:hAnsi="Arial" w:cs="Arial"/>
          <w:sz w:val="20"/>
          <w:szCs w:val="20"/>
        </w:rPr>
        <w:t>.</w:t>
      </w:r>
    </w:p>
    <w:p w:rsidR="00A60ABD" w:rsidRDefault="0069286C" w:rsidP="00485844">
      <w:pPr>
        <w:pStyle w:val="ListParagraph"/>
        <w:spacing w:after="120" w:line="240" w:lineRule="auto"/>
        <w:ind w:left="0"/>
        <w:contextualSpacing w:val="0"/>
        <w:rPr>
          <w:rFonts w:ascii="Arial" w:hAnsi="Arial" w:cs="Arial"/>
          <w:sz w:val="20"/>
          <w:szCs w:val="20"/>
        </w:rPr>
      </w:pPr>
      <w:r>
        <w:rPr>
          <w:rFonts w:ascii="Arial" w:hAnsi="Arial" w:cs="Arial"/>
          <w:sz w:val="20"/>
          <w:szCs w:val="20"/>
        </w:rPr>
        <w:t>In September 2014, Nigeria’s p</w:t>
      </w:r>
      <w:r w:rsidR="002659E6" w:rsidRPr="00A60ABD">
        <w:rPr>
          <w:rFonts w:ascii="Arial" w:hAnsi="Arial" w:cs="Arial"/>
          <w:sz w:val="20"/>
          <w:szCs w:val="20"/>
        </w:rPr>
        <w:t xml:space="preserve">resident launched the National Schools </w:t>
      </w:r>
      <w:r>
        <w:rPr>
          <w:rFonts w:ascii="Arial" w:hAnsi="Arial" w:cs="Arial"/>
          <w:sz w:val="20"/>
          <w:szCs w:val="20"/>
        </w:rPr>
        <w:t xml:space="preserve">Agricultural </w:t>
      </w:r>
      <w:proofErr w:type="spellStart"/>
      <w:r>
        <w:rPr>
          <w:rFonts w:ascii="Arial" w:hAnsi="Arial" w:cs="Arial"/>
          <w:sz w:val="20"/>
          <w:szCs w:val="20"/>
        </w:rPr>
        <w:t>Programme</w:t>
      </w:r>
      <w:proofErr w:type="spellEnd"/>
      <w:r>
        <w:rPr>
          <w:rFonts w:ascii="Arial" w:hAnsi="Arial" w:cs="Arial"/>
          <w:sz w:val="20"/>
          <w:szCs w:val="20"/>
        </w:rPr>
        <w:t xml:space="preserve"> (NSAP), </w:t>
      </w:r>
      <w:r w:rsidR="002659E6" w:rsidRPr="00A60ABD">
        <w:rPr>
          <w:rFonts w:ascii="Arial" w:hAnsi="Arial" w:cs="Arial"/>
          <w:sz w:val="20"/>
          <w:szCs w:val="20"/>
        </w:rPr>
        <w:t>aimed at developing a new generation of young agriculture entrepreneurs in the country.</w:t>
      </w:r>
      <w:r w:rsidR="002659E6" w:rsidRPr="00A60ABD">
        <w:rPr>
          <w:rStyle w:val="FootnoteReference"/>
          <w:rFonts w:ascii="Arial" w:hAnsi="Arial" w:cs="Arial"/>
          <w:sz w:val="20"/>
          <w:szCs w:val="20"/>
        </w:rPr>
        <w:footnoteReference w:id="33"/>
      </w:r>
    </w:p>
    <w:p w:rsidR="00A60ABD" w:rsidRDefault="002659E6" w:rsidP="006D01EE">
      <w:pPr>
        <w:pStyle w:val="ListParagraph"/>
        <w:spacing w:after="0" w:line="240" w:lineRule="auto"/>
        <w:ind w:left="0"/>
        <w:rPr>
          <w:rFonts w:ascii="Arial" w:hAnsi="Arial" w:cs="Arial"/>
          <w:sz w:val="20"/>
          <w:szCs w:val="20"/>
        </w:rPr>
      </w:pPr>
      <w:r w:rsidRPr="00A60ABD">
        <w:rPr>
          <w:rFonts w:ascii="Arial" w:hAnsi="Arial" w:cs="Arial"/>
          <w:sz w:val="20"/>
          <w:szCs w:val="20"/>
        </w:rPr>
        <w:t>The NSAP is a national scale-up of the Adopted Schools Project</w:t>
      </w:r>
      <w:r w:rsidRPr="00A60ABD">
        <w:rPr>
          <w:rStyle w:val="FootnoteReference"/>
          <w:rFonts w:ascii="Arial" w:hAnsi="Arial" w:cs="Arial"/>
          <w:sz w:val="20"/>
          <w:szCs w:val="20"/>
        </w:rPr>
        <w:footnoteReference w:id="34"/>
      </w:r>
      <w:r w:rsidR="00485844">
        <w:rPr>
          <w:rFonts w:ascii="Arial" w:hAnsi="Arial" w:cs="Arial"/>
          <w:sz w:val="20"/>
          <w:szCs w:val="20"/>
        </w:rPr>
        <w:t xml:space="preserve">. </w:t>
      </w:r>
      <w:r w:rsidRPr="00A60ABD">
        <w:rPr>
          <w:rFonts w:ascii="Arial" w:hAnsi="Arial" w:cs="Arial"/>
          <w:sz w:val="20"/>
          <w:szCs w:val="20"/>
        </w:rPr>
        <w:t xml:space="preserve">WAAPP has promoted </w:t>
      </w:r>
      <w:r w:rsidR="00485844">
        <w:rPr>
          <w:rFonts w:ascii="Arial" w:hAnsi="Arial" w:cs="Arial"/>
          <w:sz w:val="20"/>
          <w:szCs w:val="20"/>
        </w:rPr>
        <w:t xml:space="preserve">this </w:t>
      </w:r>
      <w:r w:rsidRPr="00A60ABD">
        <w:rPr>
          <w:rFonts w:ascii="Arial" w:hAnsi="Arial" w:cs="Arial"/>
          <w:sz w:val="20"/>
          <w:szCs w:val="20"/>
        </w:rPr>
        <w:t>in the country since 2012</w:t>
      </w:r>
      <w:r w:rsidR="00485844">
        <w:rPr>
          <w:rFonts w:ascii="Arial" w:hAnsi="Arial" w:cs="Arial"/>
          <w:sz w:val="20"/>
          <w:szCs w:val="20"/>
        </w:rPr>
        <w:t xml:space="preserve"> </w:t>
      </w:r>
      <w:r w:rsidRPr="00A60ABD">
        <w:rPr>
          <w:rFonts w:ascii="Arial" w:hAnsi="Arial" w:cs="Arial"/>
          <w:sz w:val="20"/>
          <w:szCs w:val="20"/>
        </w:rPr>
        <w:t xml:space="preserve">and </w:t>
      </w:r>
      <w:r w:rsidR="00485844">
        <w:rPr>
          <w:rFonts w:ascii="Arial" w:hAnsi="Arial" w:cs="Arial"/>
          <w:sz w:val="20"/>
          <w:szCs w:val="20"/>
        </w:rPr>
        <w:t>it</w:t>
      </w:r>
      <w:r w:rsidRPr="00A60ABD">
        <w:rPr>
          <w:rFonts w:ascii="Arial" w:hAnsi="Arial" w:cs="Arial"/>
          <w:sz w:val="20"/>
          <w:szCs w:val="20"/>
        </w:rPr>
        <w:t xml:space="preserve"> has shown a strong appeal am</w:t>
      </w:r>
      <w:r w:rsidR="00A60ABD">
        <w:rPr>
          <w:rFonts w:ascii="Arial" w:hAnsi="Arial" w:cs="Arial"/>
          <w:sz w:val="20"/>
          <w:szCs w:val="20"/>
        </w:rPr>
        <w:t xml:space="preserve">ong secondary school students. </w:t>
      </w:r>
      <w:r w:rsidR="0069286C">
        <w:rPr>
          <w:rFonts w:ascii="Arial" w:hAnsi="Arial" w:cs="Arial"/>
          <w:sz w:val="20"/>
          <w:szCs w:val="20"/>
        </w:rPr>
        <w:t>The</w:t>
      </w:r>
      <w:r w:rsidR="00485844">
        <w:rPr>
          <w:rFonts w:ascii="Arial" w:hAnsi="Arial" w:cs="Arial"/>
          <w:sz w:val="20"/>
          <w:szCs w:val="20"/>
        </w:rPr>
        <w:t xml:space="preserve"> Adopted Schools Project</w:t>
      </w:r>
      <w:r w:rsidRPr="00A60ABD">
        <w:rPr>
          <w:rFonts w:ascii="Arial" w:hAnsi="Arial" w:cs="Arial"/>
          <w:sz w:val="20"/>
          <w:szCs w:val="20"/>
        </w:rPr>
        <w:t xml:space="preserve"> </w:t>
      </w:r>
      <w:r w:rsidR="0069286C">
        <w:rPr>
          <w:rFonts w:ascii="Arial" w:hAnsi="Arial" w:cs="Arial"/>
          <w:sz w:val="20"/>
          <w:szCs w:val="20"/>
        </w:rPr>
        <w:t xml:space="preserve">involves </w:t>
      </w:r>
      <w:r w:rsidRPr="00A60ABD">
        <w:rPr>
          <w:rFonts w:ascii="Arial" w:hAnsi="Arial" w:cs="Arial"/>
          <w:sz w:val="20"/>
          <w:szCs w:val="20"/>
        </w:rPr>
        <w:t xml:space="preserve">the 15 national agricultural research institutes (NARIs) </w:t>
      </w:r>
      <w:r w:rsidR="0069286C">
        <w:rPr>
          <w:rFonts w:ascii="Arial" w:hAnsi="Arial" w:cs="Arial"/>
          <w:sz w:val="20"/>
          <w:szCs w:val="20"/>
        </w:rPr>
        <w:t xml:space="preserve">partnering three </w:t>
      </w:r>
      <w:r w:rsidRPr="00A60ABD">
        <w:rPr>
          <w:rFonts w:ascii="Arial" w:hAnsi="Arial" w:cs="Arial"/>
          <w:sz w:val="20"/>
          <w:szCs w:val="20"/>
        </w:rPr>
        <w:t xml:space="preserve">secondary schools </w:t>
      </w:r>
      <w:r w:rsidR="0069286C">
        <w:rPr>
          <w:rFonts w:ascii="Arial" w:hAnsi="Arial" w:cs="Arial"/>
          <w:sz w:val="20"/>
          <w:szCs w:val="20"/>
        </w:rPr>
        <w:t>and</w:t>
      </w:r>
      <w:r w:rsidRPr="00A60ABD">
        <w:rPr>
          <w:rFonts w:ascii="Arial" w:hAnsi="Arial" w:cs="Arial"/>
          <w:sz w:val="20"/>
          <w:szCs w:val="20"/>
        </w:rPr>
        <w:t xml:space="preserve"> planning and implementing a number of WAAPP-funded project activities.</w:t>
      </w:r>
      <w:r w:rsidR="00485844">
        <w:rPr>
          <w:rFonts w:ascii="Arial" w:hAnsi="Arial" w:cs="Arial"/>
          <w:sz w:val="20"/>
          <w:szCs w:val="20"/>
        </w:rPr>
        <w:t xml:space="preserve"> </w:t>
      </w:r>
      <w:r w:rsidRPr="00A60ABD">
        <w:rPr>
          <w:rFonts w:ascii="Arial" w:hAnsi="Arial" w:cs="Arial"/>
          <w:sz w:val="20"/>
          <w:szCs w:val="20"/>
        </w:rPr>
        <w:t>The activ</w:t>
      </w:r>
      <w:r w:rsidR="00A60ABD">
        <w:rPr>
          <w:rFonts w:ascii="Arial" w:hAnsi="Arial" w:cs="Arial"/>
          <w:sz w:val="20"/>
          <w:szCs w:val="20"/>
        </w:rPr>
        <w:t xml:space="preserve">ities generally include: </w:t>
      </w:r>
    </w:p>
    <w:p w:rsidR="00A60ABD" w:rsidRDefault="0069286C" w:rsidP="00A60ABD">
      <w:pPr>
        <w:pStyle w:val="ListParagraph"/>
        <w:numPr>
          <w:ilvl w:val="0"/>
          <w:numId w:val="29"/>
        </w:numPr>
        <w:spacing w:after="0" w:line="240" w:lineRule="auto"/>
        <w:rPr>
          <w:rFonts w:ascii="Arial" w:hAnsi="Arial" w:cs="Arial"/>
          <w:sz w:val="20"/>
          <w:szCs w:val="20"/>
        </w:rPr>
      </w:pPr>
      <w:r>
        <w:rPr>
          <w:rFonts w:ascii="Arial" w:hAnsi="Arial" w:cs="Arial"/>
          <w:sz w:val="20"/>
          <w:szCs w:val="20"/>
        </w:rPr>
        <w:t xml:space="preserve">establishment of an agricultural research outreach </w:t>
      </w:r>
      <w:proofErr w:type="spellStart"/>
      <w:r>
        <w:rPr>
          <w:rFonts w:ascii="Arial" w:hAnsi="Arial" w:cs="Arial"/>
          <w:sz w:val="20"/>
          <w:szCs w:val="20"/>
        </w:rPr>
        <w:t>centre</w:t>
      </w:r>
      <w:proofErr w:type="spellEnd"/>
      <w:r w:rsidR="00485844">
        <w:rPr>
          <w:rFonts w:ascii="Arial" w:hAnsi="Arial" w:cs="Arial"/>
          <w:sz w:val="20"/>
          <w:szCs w:val="20"/>
        </w:rPr>
        <w:t xml:space="preserve"> </w:t>
      </w:r>
      <w:r w:rsidR="002659E6" w:rsidRPr="00A60ABD">
        <w:rPr>
          <w:rFonts w:ascii="Arial" w:hAnsi="Arial" w:cs="Arial"/>
          <w:sz w:val="20"/>
          <w:szCs w:val="20"/>
        </w:rPr>
        <w:t>equipped with books and electronic resources fo</w:t>
      </w:r>
      <w:r w:rsidR="00A60ABD">
        <w:rPr>
          <w:rFonts w:ascii="Arial" w:hAnsi="Arial" w:cs="Arial"/>
          <w:sz w:val="20"/>
          <w:szCs w:val="20"/>
        </w:rPr>
        <w:t xml:space="preserve">r the </w:t>
      </w:r>
      <w:r>
        <w:rPr>
          <w:rFonts w:ascii="Arial" w:hAnsi="Arial" w:cs="Arial"/>
          <w:sz w:val="20"/>
          <w:szCs w:val="20"/>
        </w:rPr>
        <w:t>use of the students</w:t>
      </w:r>
    </w:p>
    <w:p w:rsidR="00A60ABD" w:rsidRDefault="002659E6" w:rsidP="00A60ABD">
      <w:pPr>
        <w:pStyle w:val="ListParagraph"/>
        <w:numPr>
          <w:ilvl w:val="0"/>
          <w:numId w:val="29"/>
        </w:numPr>
        <w:spacing w:after="0" w:line="240" w:lineRule="auto"/>
        <w:rPr>
          <w:rFonts w:ascii="Arial" w:hAnsi="Arial" w:cs="Arial"/>
          <w:sz w:val="20"/>
          <w:szCs w:val="20"/>
        </w:rPr>
      </w:pPr>
      <w:r w:rsidRPr="00A60ABD">
        <w:rPr>
          <w:rFonts w:ascii="Arial" w:hAnsi="Arial" w:cs="Arial"/>
          <w:sz w:val="20"/>
          <w:szCs w:val="20"/>
        </w:rPr>
        <w:t>a demonstration fa</w:t>
      </w:r>
      <w:r w:rsidR="0069286C">
        <w:rPr>
          <w:rFonts w:ascii="Arial" w:hAnsi="Arial" w:cs="Arial"/>
          <w:sz w:val="20"/>
          <w:szCs w:val="20"/>
        </w:rPr>
        <w:t>rm of crop varieties suited to</w:t>
      </w:r>
      <w:r w:rsidRPr="00A60ABD">
        <w:rPr>
          <w:rFonts w:ascii="Arial" w:hAnsi="Arial" w:cs="Arial"/>
          <w:sz w:val="20"/>
          <w:szCs w:val="20"/>
        </w:rPr>
        <w:t xml:space="preserve"> the agro-ecolo</w:t>
      </w:r>
      <w:r w:rsidR="00A60ABD">
        <w:rPr>
          <w:rFonts w:ascii="Arial" w:hAnsi="Arial" w:cs="Arial"/>
          <w:sz w:val="20"/>
          <w:szCs w:val="20"/>
        </w:rPr>
        <w:t xml:space="preserve">gical zone </w:t>
      </w:r>
      <w:r w:rsidR="0069286C">
        <w:rPr>
          <w:rFonts w:ascii="Arial" w:hAnsi="Arial" w:cs="Arial"/>
          <w:sz w:val="20"/>
          <w:szCs w:val="20"/>
        </w:rPr>
        <w:t xml:space="preserve">of the school </w:t>
      </w:r>
    </w:p>
    <w:p w:rsidR="002659E6" w:rsidRPr="00A60ABD" w:rsidRDefault="002659E6" w:rsidP="00485844">
      <w:pPr>
        <w:pStyle w:val="ListParagraph"/>
        <w:numPr>
          <w:ilvl w:val="0"/>
          <w:numId w:val="29"/>
        </w:numPr>
        <w:spacing w:after="120" w:line="240" w:lineRule="auto"/>
        <w:ind w:left="714" w:hanging="357"/>
        <w:contextualSpacing w:val="0"/>
        <w:rPr>
          <w:rFonts w:ascii="Arial" w:hAnsi="Arial" w:cs="Arial"/>
          <w:sz w:val="20"/>
          <w:szCs w:val="20"/>
        </w:rPr>
      </w:pPr>
      <w:r w:rsidRPr="00A60ABD">
        <w:rPr>
          <w:rFonts w:ascii="Arial" w:hAnsi="Arial" w:cs="Arial"/>
          <w:sz w:val="20"/>
          <w:szCs w:val="20"/>
        </w:rPr>
        <w:t>a</w:t>
      </w:r>
      <w:r w:rsidR="00485844">
        <w:rPr>
          <w:rFonts w:ascii="Arial" w:hAnsi="Arial" w:cs="Arial"/>
          <w:sz w:val="20"/>
          <w:szCs w:val="20"/>
        </w:rPr>
        <w:t xml:space="preserve"> </w:t>
      </w:r>
      <w:r w:rsidR="0069286C">
        <w:rPr>
          <w:rFonts w:ascii="Arial" w:hAnsi="Arial" w:cs="Arial"/>
          <w:sz w:val="20"/>
          <w:szCs w:val="20"/>
        </w:rPr>
        <w:t>fish or poultry farm</w:t>
      </w:r>
    </w:p>
    <w:p w:rsidR="00A60ABD" w:rsidRDefault="002659E6" w:rsidP="006D01EE">
      <w:pPr>
        <w:pStyle w:val="ListParagraph"/>
        <w:spacing w:after="0" w:line="240" w:lineRule="auto"/>
        <w:ind w:left="0"/>
        <w:rPr>
          <w:rFonts w:ascii="Arial" w:hAnsi="Arial" w:cs="Arial"/>
          <w:sz w:val="20"/>
          <w:szCs w:val="20"/>
        </w:rPr>
      </w:pPr>
      <w:r w:rsidRPr="00A60ABD">
        <w:rPr>
          <w:rFonts w:ascii="Arial" w:hAnsi="Arial" w:cs="Arial"/>
          <w:sz w:val="20"/>
          <w:szCs w:val="20"/>
        </w:rPr>
        <w:t xml:space="preserve">Results from the adopted schools project </w:t>
      </w:r>
      <w:r w:rsidR="00A60ABD">
        <w:rPr>
          <w:rFonts w:ascii="Arial" w:hAnsi="Arial" w:cs="Arial"/>
          <w:sz w:val="20"/>
          <w:szCs w:val="20"/>
        </w:rPr>
        <w:t>under WAAPP have shown that:</w:t>
      </w:r>
    </w:p>
    <w:p w:rsidR="00A60ABD" w:rsidRDefault="002659E6" w:rsidP="00A60ABD">
      <w:pPr>
        <w:pStyle w:val="ListParagraph"/>
        <w:numPr>
          <w:ilvl w:val="0"/>
          <w:numId w:val="30"/>
        </w:numPr>
        <w:spacing w:after="0" w:line="240" w:lineRule="auto"/>
        <w:rPr>
          <w:rFonts w:ascii="Arial" w:hAnsi="Arial" w:cs="Arial"/>
          <w:sz w:val="20"/>
          <w:szCs w:val="20"/>
        </w:rPr>
      </w:pPr>
      <w:r w:rsidRPr="00A60ABD">
        <w:rPr>
          <w:rFonts w:ascii="Arial" w:hAnsi="Arial" w:cs="Arial"/>
          <w:sz w:val="20"/>
          <w:szCs w:val="20"/>
        </w:rPr>
        <w:t>the proportion of students in the target schools who included Agricu</w:t>
      </w:r>
      <w:r w:rsidR="0069286C">
        <w:rPr>
          <w:rFonts w:ascii="Arial" w:hAnsi="Arial" w:cs="Arial"/>
          <w:sz w:val="20"/>
          <w:szCs w:val="20"/>
        </w:rPr>
        <w:t>lture Science in their GCE O level e</w:t>
      </w:r>
      <w:r w:rsidRPr="00A60ABD">
        <w:rPr>
          <w:rFonts w:ascii="Arial" w:hAnsi="Arial" w:cs="Arial"/>
          <w:sz w:val="20"/>
          <w:szCs w:val="20"/>
        </w:rPr>
        <w:t>xamination has increased relative to the ye</w:t>
      </w:r>
      <w:r w:rsidR="00A60ABD">
        <w:rPr>
          <w:rFonts w:ascii="Arial" w:hAnsi="Arial" w:cs="Arial"/>
          <w:sz w:val="20"/>
          <w:szCs w:val="20"/>
        </w:rPr>
        <w:t>ars before the project started</w:t>
      </w:r>
    </w:p>
    <w:p w:rsidR="00A60ABD" w:rsidRDefault="002659E6" w:rsidP="00A60ABD">
      <w:pPr>
        <w:pStyle w:val="ListParagraph"/>
        <w:numPr>
          <w:ilvl w:val="0"/>
          <w:numId w:val="30"/>
        </w:numPr>
        <w:spacing w:after="0" w:line="240" w:lineRule="auto"/>
        <w:rPr>
          <w:rFonts w:ascii="Arial" w:hAnsi="Arial" w:cs="Arial"/>
          <w:sz w:val="20"/>
          <w:szCs w:val="20"/>
        </w:rPr>
      </w:pPr>
      <w:r w:rsidRPr="00A60ABD">
        <w:rPr>
          <w:rFonts w:ascii="Arial" w:hAnsi="Arial" w:cs="Arial"/>
          <w:sz w:val="20"/>
          <w:szCs w:val="20"/>
        </w:rPr>
        <w:t>t</w:t>
      </w:r>
      <w:r w:rsidR="0069286C">
        <w:rPr>
          <w:rFonts w:ascii="Arial" w:hAnsi="Arial" w:cs="Arial"/>
          <w:sz w:val="20"/>
          <w:szCs w:val="20"/>
        </w:rPr>
        <w:t>he proportion of the number of a</w:t>
      </w:r>
      <w:r w:rsidRPr="00A60ABD">
        <w:rPr>
          <w:rFonts w:ascii="Arial" w:hAnsi="Arial" w:cs="Arial"/>
          <w:sz w:val="20"/>
          <w:szCs w:val="20"/>
        </w:rPr>
        <w:t>gri</w:t>
      </w:r>
      <w:r w:rsidR="0069286C">
        <w:rPr>
          <w:rFonts w:ascii="Arial" w:hAnsi="Arial" w:cs="Arial"/>
          <w:sz w:val="20"/>
          <w:szCs w:val="20"/>
        </w:rPr>
        <w:t>culture s</w:t>
      </w:r>
      <w:r w:rsidRPr="00A60ABD">
        <w:rPr>
          <w:rFonts w:ascii="Arial" w:hAnsi="Arial" w:cs="Arial"/>
          <w:sz w:val="20"/>
          <w:szCs w:val="20"/>
        </w:rPr>
        <w:t xml:space="preserve">cience candidates who obtained credit </w:t>
      </w:r>
      <w:r w:rsidR="00485844">
        <w:rPr>
          <w:rFonts w:ascii="Arial" w:hAnsi="Arial" w:cs="Arial"/>
          <w:sz w:val="20"/>
          <w:szCs w:val="20"/>
        </w:rPr>
        <w:t xml:space="preserve">or higher grades at the GCE </w:t>
      </w:r>
      <w:r w:rsidR="0069286C">
        <w:rPr>
          <w:rFonts w:ascii="Arial" w:hAnsi="Arial" w:cs="Arial"/>
          <w:sz w:val="20"/>
          <w:szCs w:val="20"/>
        </w:rPr>
        <w:t>O level e</w:t>
      </w:r>
      <w:r w:rsidRPr="00A60ABD">
        <w:rPr>
          <w:rFonts w:ascii="Arial" w:hAnsi="Arial" w:cs="Arial"/>
          <w:sz w:val="20"/>
          <w:szCs w:val="20"/>
        </w:rPr>
        <w:t>xamination inc</w:t>
      </w:r>
      <w:r w:rsidR="00A60ABD">
        <w:rPr>
          <w:rFonts w:ascii="Arial" w:hAnsi="Arial" w:cs="Arial"/>
          <w:sz w:val="20"/>
          <w:szCs w:val="20"/>
        </w:rPr>
        <w:t>reased significantly</w:t>
      </w:r>
    </w:p>
    <w:p w:rsidR="002659E6" w:rsidRPr="00A60ABD" w:rsidRDefault="002659E6" w:rsidP="00485844">
      <w:pPr>
        <w:pStyle w:val="ListParagraph"/>
        <w:numPr>
          <w:ilvl w:val="0"/>
          <w:numId w:val="30"/>
        </w:numPr>
        <w:spacing w:after="120" w:line="240" w:lineRule="auto"/>
        <w:ind w:left="714" w:hanging="357"/>
        <w:contextualSpacing w:val="0"/>
        <w:rPr>
          <w:rFonts w:ascii="Arial" w:hAnsi="Arial" w:cs="Arial"/>
          <w:sz w:val="20"/>
          <w:szCs w:val="20"/>
        </w:rPr>
      </w:pPr>
      <w:r w:rsidRPr="00A60ABD">
        <w:rPr>
          <w:rFonts w:ascii="Arial" w:hAnsi="Arial" w:cs="Arial"/>
          <w:sz w:val="20"/>
          <w:szCs w:val="20"/>
        </w:rPr>
        <w:t xml:space="preserve">the number of students from the </w:t>
      </w:r>
      <w:r w:rsidR="0069286C">
        <w:rPr>
          <w:rFonts w:ascii="Arial" w:hAnsi="Arial" w:cs="Arial"/>
          <w:sz w:val="20"/>
          <w:szCs w:val="20"/>
        </w:rPr>
        <w:t>target schools who enrolled in a</w:t>
      </w:r>
      <w:r w:rsidRPr="00A60ABD">
        <w:rPr>
          <w:rFonts w:ascii="Arial" w:hAnsi="Arial" w:cs="Arial"/>
          <w:sz w:val="20"/>
          <w:szCs w:val="20"/>
        </w:rPr>
        <w:t xml:space="preserve">griculture courses as their first choice at universities also increased (relative to the trend where </w:t>
      </w:r>
      <w:r w:rsidR="00A60ABD">
        <w:rPr>
          <w:rFonts w:ascii="Arial" w:hAnsi="Arial" w:cs="Arial"/>
          <w:sz w:val="20"/>
          <w:szCs w:val="20"/>
        </w:rPr>
        <w:t xml:space="preserve">most students are shifted from </w:t>
      </w:r>
      <w:r w:rsidR="00A60ABD">
        <w:rPr>
          <w:rFonts w:ascii="Arial" w:hAnsi="Arial" w:cs="Arial"/>
          <w:sz w:val="20"/>
          <w:szCs w:val="20"/>
        </w:rPr>
        <w:lastRenderedPageBreak/>
        <w:t>medicine or pharmacy to a</w:t>
      </w:r>
      <w:r w:rsidRPr="00A60ABD">
        <w:rPr>
          <w:rFonts w:ascii="Arial" w:hAnsi="Arial" w:cs="Arial"/>
          <w:sz w:val="20"/>
          <w:szCs w:val="20"/>
        </w:rPr>
        <w:t>griculture after failing to achieve the required admission cut-off grades at the matriculation examinations).</w:t>
      </w:r>
    </w:p>
    <w:p w:rsidR="002659E6" w:rsidRPr="00A60ABD" w:rsidRDefault="002659E6" w:rsidP="004B7001">
      <w:pPr>
        <w:pStyle w:val="ListParagraph"/>
        <w:spacing w:after="120" w:line="240" w:lineRule="auto"/>
        <w:ind w:left="0"/>
        <w:contextualSpacing w:val="0"/>
        <w:rPr>
          <w:rFonts w:ascii="Arial" w:hAnsi="Arial" w:cs="Arial"/>
          <w:sz w:val="20"/>
          <w:szCs w:val="20"/>
        </w:rPr>
      </w:pPr>
      <w:r w:rsidRPr="00A60ABD">
        <w:rPr>
          <w:rFonts w:ascii="Arial" w:hAnsi="Arial" w:cs="Arial"/>
          <w:sz w:val="20"/>
          <w:szCs w:val="20"/>
        </w:rPr>
        <w:t xml:space="preserve">Due to high youth unemployment in Nigeria, almost every state has an ongoing variant of youth-in-agriculture initiative under different labels. Some of the states have very poor labels for their youth-in-agriculture initiatives (e.g. “Unemployed Young Graduates Agriculture Scheme”). Some of the intended beneficiaries have expressed a strong dislike to being associated with such labels because they feel ashamed that their peers see them as </w:t>
      </w:r>
      <w:r w:rsidR="00A60ABD">
        <w:rPr>
          <w:rFonts w:ascii="Arial" w:hAnsi="Arial" w:cs="Arial"/>
          <w:sz w:val="20"/>
          <w:szCs w:val="20"/>
        </w:rPr>
        <w:t xml:space="preserve">failures in the </w:t>
      </w:r>
      <w:proofErr w:type="spellStart"/>
      <w:r w:rsidR="00A60ABD">
        <w:rPr>
          <w:rFonts w:ascii="Arial" w:hAnsi="Arial" w:cs="Arial"/>
          <w:sz w:val="20"/>
          <w:szCs w:val="20"/>
        </w:rPr>
        <w:t>labo</w:t>
      </w:r>
      <w:r w:rsidR="00485844">
        <w:rPr>
          <w:rFonts w:ascii="Arial" w:hAnsi="Arial" w:cs="Arial"/>
          <w:sz w:val="20"/>
          <w:szCs w:val="20"/>
        </w:rPr>
        <w:t>u</w:t>
      </w:r>
      <w:r w:rsidR="00A60ABD">
        <w:rPr>
          <w:rFonts w:ascii="Arial" w:hAnsi="Arial" w:cs="Arial"/>
          <w:sz w:val="20"/>
          <w:szCs w:val="20"/>
        </w:rPr>
        <w:t>r</w:t>
      </w:r>
      <w:proofErr w:type="spellEnd"/>
      <w:r w:rsidR="00A60ABD">
        <w:rPr>
          <w:rFonts w:ascii="Arial" w:hAnsi="Arial" w:cs="Arial"/>
          <w:sz w:val="20"/>
          <w:szCs w:val="20"/>
        </w:rPr>
        <w:t xml:space="preserve"> market. </w:t>
      </w:r>
      <w:r w:rsidRPr="00A60ABD">
        <w:rPr>
          <w:rFonts w:ascii="Arial" w:hAnsi="Arial" w:cs="Arial"/>
          <w:sz w:val="20"/>
          <w:szCs w:val="20"/>
        </w:rPr>
        <w:t xml:space="preserve">The result is that many of the beneficiaries avoid participating in any mass media reportage </w:t>
      </w:r>
      <w:proofErr w:type="spellStart"/>
      <w:r w:rsidRPr="00A60ABD">
        <w:rPr>
          <w:rFonts w:ascii="Arial" w:hAnsi="Arial" w:cs="Arial"/>
          <w:sz w:val="20"/>
          <w:szCs w:val="20"/>
        </w:rPr>
        <w:t>programmes</w:t>
      </w:r>
      <w:proofErr w:type="spellEnd"/>
      <w:r w:rsidRPr="00A60ABD">
        <w:rPr>
          <w:rFonts w:ascii="Arial" w:hAnsi="Arial" w:cs="Arial"/>
          <w:sz w:val="20"/>
          <w:szCs w:val="20"/>
        </w:rPr>
        <w:t xml:space="preserve"> (TV, radio or newspapers), that would feature their work, their true identities, names, faces or biography.  </w:t>
      </w:r>
    </w:p>
    <w:p w:rsidR="002659E6" w:rsidRPr="00A60ABD" w:rsidRDefault="002659E6" w:rsidP="004B7001">
      <w:pPr>
        <w:pStyle w:val="ListParagraph"/>
        <w:spacing w:after="120" w:line="240" w:lineRule="auto"/>
        <w:ind w:left="0"/>
        <w:contextualSpacing w:val="0"/>
        <w:rPr>
          <w:rFonts w:ascii="Arial" w:hAnsi="Arial" w:cs="Arial"/>
          <w:sz w:val="20"/>
          <w:szCs w:val="20"/>
        </w:rPr>
      </w:pPr>
      <w:r w:rsidRPr="00A60ABD">
        <w:rPr>
          <w:rFonts w:ascii="Arial" w:hAnsi="Arial" w:cs="Arial"/>
          <w:sz w:val="20"/>
          <w:szCs w:val="20"/>
        </w:rPr>
        <w:t xml:space="preserve">Youth-in-agriculture projects </w:t>
      </w:r>
      <w:r w:rsidR="004B7001">
        <w:rPr>
          <w:rFonts w:ascii="Arial" w:hAnsi="Arial" w:cs="Arial"/>
          <w:sz w:val="20"/>
          <w:szCs w:val="20"/>
        </w:rPr>
        <w:t>need to be more smartly branded</w:t>
      </w:r>
      <w:r w:rsidRPr="00A60ABD">
        <w:rPr>
          <w:rFonts w:ascii="Arial" w:hAnsi="Arial" w:cs="Arial"/>
          <w:sz w:val="20"/>
          <w:szCs w:val="20"/>
        </w:rPr>
        <w:t xml:space="preserve"> and the targeted activities should involve the use of labor-saving tec</w:t>
      </w:r>
      <w:r w:rsidR="00A60ABD">
        <w:rPr>
          <w:rFonts w:ascii="Arial" w:hAnsi="Arial" w:cs="Arial"/>
          <w:sz w:val="20"/>
          <w:szCs w:val="20"/>
        </w:rPr>
        <w:t xml:space="preserve">hnologies and quick cash flow. </w:t>
      </w:r>
      <w:r w:rsidRPr="00A60ABD">
        <w:rPr>
          <w:rFonts w:ascii="Arial" w:hAnsi="Arial" w:cs="Arial"/>
          <w:sz w:val="20"/>
          <w:szCs w:val="20"/>
        </w:rPr>
        <w:t xml:space="preserve">Many young people do not like </w:t>
      </w:r>
      <w:proofErr w:type="spellStart"/>
      <w:r w:rsidRPr="00A60ABD">
        <w:rPr>
          <w:rFonts w:ascii="Arial" w:hAnsi="Arial" w:cs="Arial"/>
          <w:sz w:val="20"/>
          <w:szCs w:val="20"/>
        </w:rPr>
        <w:t>labo</w:t>
      </w:r>
      <w:r w:rsidR="004B7001">
        <w:rPr>
          <w:rFonts w:ascii="Arial" w:hAnsi="Arial" w:cs="Arial"/>
          <w:sz w:val="20"/>
          <w:szCs w:val="20"/>
        </w:rPr>
        <w:t>u</w:t>
      </w:r>
      <w:r w:rsidRPr="00A60ABD">
        <w:rPr>
          <w:rFonts w:ascii="Arial" w:hAnsi="Arial" w:cs="Arial"/>
          <w:sz w:val="20"/>
          <w:szCs w:val="20"/>
        </w:rPr>
        <w:t>r-intensive</w:t>
      </w:r>
      <w:proofErr w:type="spellEnd"/>
      <w:r w:rsidRPr="00A60ABD">
        <w:rPr>
          <w:rFonts w:ascii="Arial" w:hAnsi="Arial" w:cs="Arial"/>
          <w:sz w:val="20"/>
          <w:szCs w:val="20"/>
        </w:rPr>
        <w:t xml:space="preserve">, hoe-and-cutlass types of work, but are strongly attracted to </w:t>
      </w:r>
      <w:proofErr w:type="spellStart"/>
      <w:r w:rsidRPr="00A60ABD">
        <w:rPr>
          <w:rFonts w:ascii="Arial" w:hAnsi="Arial" w:cs="Arial"/>
          <w:sz w:val="20"/>
          <w:szCs w:val="20"/>
        </w:rPr>
        <w:t>tractorized</w:t>
      </w:r>
      <w:proofErr w:type="spellEnd"/>
      <w:r w:rsidRPr="00A60ABD">
        <w:rPr>
          <w:rFonts w:ascii="Arial" w:hAnsi="Arial" w:cs="Arial"/>
          <w:sz w:val="20"/>
          <w:szCs w:val="20"/>
        </w:rPr>
        <w:t xml:space="preserve"> or mechanized agricultural activities, even if longer working hours are involved. There is strong interest on </w:t>
      </w:r>
      <w:r w:rsidR="004B7001">
        <w:rPr>
          <w:rFonts w:ascii="Arial" w:hAnsi="Arial" w:cs="Arial"/>
          <w:sz w:val="20"/>
          <w:szCs w:val="20"/>
        </w:rPr>
        <w:t xml:space="preserve">‘youth </w:t>
      </w:r>
      <w:proofErr w:type="spellStart"/>
      <w:r w:rsidR="004B7001">
        <w:rPr>
          <w:rFonts w:ascii="Arial" w:hAnsi="Arial" w:cs="Arial"/>
          <w:sz w:val="20"/>
          <w:szCs w:val="20"/>
        </w:rPr>
        <w:t>agripreneur</w:t>
      </w:r>
      <w:proofErr w:type="spellEnd"/>
      <w:r w:rsidR="004B7001">
        <w:rPr>
          <w:rFonts w:ascii="Arial" w:hAnsi="Arial" w:cs="Arial"/>
          <w:sz w:val="20"/>
          <w:szCs w:val="20"/>
        </w:rPr>
        <w:t>’</w:t>
      </w:r>
      <w:r w:rsidRPr="00A60ABD">
        <w:rPr>
          <w:rFonts w:ascii="Arial" w:hAnsi="Arial" w:cs="Arial"/>
          <w:sz w:val="20"/>
          <w:szCs w:val="20"/>
        </w:rPr>
        <w:t xml:space="preserve"> development in Nigeria</w:t>
      </w:r>
      <w:r w:rsidR="004B7001">
        <w:rPr>
          <w:rFonts w:ascii="Arial" w:hAnsi="Arial" w:cs="Arial"/>
          <w:sz w:val="20"/>
          <w:szCs w:val="20"/>
        </w:rPr>
        <w:t xml:space="preserve">: </w:t>
      </w:r>
      <w:r w:rsidRPr="00A60ABD">
        <w:rPr>
          <w:rFonts w:ascii="Arial" w:hAnsi="Arial" w:cs="Arial"/>
          <w:sz w:val="20"/>
          <w:szCs w:val="20"/>
        </w:rPr>
        <w:t>a development partner is needed to provide some leadership in shaping the thinking and the agendas wit</w:t>
      </w:r>
      <w:r w:rsidR="00A60ABD">
        <w:rPr>
          <w:rFonts w:ascii="Arial" w:hAnsi="Arial" w:cs="Arial"/>
          <w:sz w:val="20"/>
          <w:szCs w:val="20"/>
        </w:rPr>
        <w:t xml:space="preserve">hin the community of practice. </w:t>
      </w:r>
      <w:r w:rsidRPr="00A60ABD">
        <w:rPr>
          <w:rFonts w:ascii="Arial" w:hAnsi="Arial" w:cs="Arial"/>
          <w:sz w:val="20"/>
          <w:szCs w:val="20"/>
        </w:rPr>
        <w:t xml:space="preserve">There is need for a partner that could, for example convene a meeting of interested donors, technical assistance partners and government in redesigning youth-in-agriculture or youth </w:t>
      </w:r>
      <w:proofErr w:type="spellStart"/>
      <w:r w:rsidRPr="00A60ABD">
        <w:rPr>
          <w:rFonts w:ascii="Arial" w:hAnsi="Arial" w:cs="Arial"/>
          <w:sz w:val="20"/>
          <w:szCs w:val="20"/>
        </w:rPr>
        <w:t>agripreneur</w:t>
      </w:r>
      <w:proofErr w:type="spellEnd"/>
      <w:r w:rsidRPr="00A60ABD">
        <w:rPr>
          <w:rFonts w:ascii="Arial" w:hAnsi="Arial" w:cs="Arial"/>
          <w:sz w:val="20"/>
          <w:szCs w:val="20"/>
        </w:rPr>
        <w:t xml:space="preserve"> development initiatives in Nigeria.</w:t>
      </w:r>
    </w:p>
    <w:p w:rsidR="002659E6" w:rsidRPr="00A60ABD" w:rsidRDefault="002659E6" w:rsidP="004B7001">
      <w:pPr>
        <w:pStyle w:val="ListParagraph"/>
        <w:spacing w:after="120" w:line="240" w:lineRule="auto"/>
        <w:ind w:left="0"/>
        <w:rPr>
          <w:rFonts w:ascii="Arial" w:hAnsi="Arial" w:cs="Arial"/>
          <w:sz w:val="20"/>
          <w:szCs w:val="20"/>
        </w:rPr>
      </w:pPr>
      <w:r w:rsidRPr="00A60ABD">
        <w:rPr>
          <w:rFonts w:ascii="Arial" w:hAnsi="Arial" w:cs="Arial"/>
          <w:sz w:val="20"/>
          <w:szCs w:val="20"/>
        </w:rPr>
        <w:t xml:space="preserve">There is a strong prospect of involving the youth in the use of </w:t>
      </w:r>
      <w:r w:rsidR="004B7001">
        <w:rPr>
          <w:rFonts w:ascii="Arial" w:hAnsi="Arial" w:cs="Arial"/>
          <w:sz w:val="20"/>
          <w:szCs w:val="20"/>
        </w:rPr>
        <w:t>‘</w:t>
      </w:r>
      <w:r w:rsidRPr="00A60ABD">
        <w:rPr>
          <w:rFonts w:ascii="Arial" w:hAnsi="Arial" w:cs="Arial"/>
          <w:sz w:val="20"/>
          <w:szCs w:val="20"/>
        </w:rPr>
        <w:t>soil doctor</w:t>
      </w:r>
      <w:r w:rsidR="004B7001">
        <w:rPr>
          <w:rFonts w:ascii="Arial" w:hAnsi="Arial" w:cs="Arial"/>
          <w:sz w:val="20"/>
          <w:szCs w:val="20"/>
        </w:rPr>
        <w:t>’</w:t>
      </w:r>
      <w:r w:rsidRPr="00A60ABD">
        <w:rPr>
          <w:rFonts w:ascii="Arial" w:hAnsi="Arial" w:cs="Arial"/>
          <w:sz w:val="20"/>
          <w:szCs w:val="20"/>
        </w:rPr>
        <w:t xml:space="preserve"> kits as an entrepreneurial activity, or involving them in commercial composting as part of a menu of ISFM activities.</w:t>
      </w:r>
      <w:r w:rsidR="004B7001">
        <w:rPr>
          <w:rFonts w:ascii="Arial" w:hAnsi="Arial" w:cs="Arial"/>
          <w:sz w:val="20"/>
          <w:szCs w:val="20"/>
        </w:rPr>
        <w:t xml:space="preserve"> </w:t>
      </w:r>
      <w:r w:rsidRPr="00A60ABD">
        <w:rPr>
          <w:rFonts w:ascii="Arial" w:hAnsi="Arial" w:cs="Arial"/>
          <w:sz w:val="20"/>
          <w:szCs w:val="20"/>
        </w:rPr>
        <w:t>However, these notions would involve careful considerat</w:t>
      </w:r>
      <w:r w:rsidR="004B7001">
        <w:rPr>
          <w:rFonts w:ascii="Arial" w:hAnsi="Arial" w:cs="Arial"/>
          <w:sz w:val="20"/>
          <w:szCs w:val="20"/>
        </w:rPr>
        <w:t>ion of many interwoven elements</w:t>
      </w:r>
      <w:r w:rsidRPr="00A60ABD">
        <w:rPr>
          <w:rFonts w:ascii="Arial" w:hAnsi="Arial" w:cs="Arial"/>
          <w:sz w:val="20"/>
          <w:szCs w:val="20"/>
        </w:rPr>
        <w:t xml:space="preserve"> and, so far, no systematic plan has been developed. </w:t>
      </w:r>
    </w:p>
    <w:p w:rsidR="002659E6" w:rsidRPr="0002792B" w:rsidRDefault="002659E6" w:rsidP="004B7001">
      <w:pPr>
        <w:autoSpaceDE w:val="0"/>
        <w:autoSpaceDN w:val="0"/>
        <w:adjustRightInd w:val="0"/>
        <w:spacing w:after="120" w:line="240" w:lineRule="auto"/>
        <w:rPr>
          <w:rFonts w:ascii="Arial" w:hAnsi="Arial" w:cs="Arial"/>
          <w:sz w:val="20"/>
          <w:szCs w:val="20"/>
        </w:rPr>
      </w:pPr>
      <w:r w:rsidRPr="0002792B">
        <w:rPr>
          <w:rFonts w:ascii="Arial" w:hAnsi="Arial" w:cs="Arial"/>
          <w:sz w:val="20"/>
          <w:szCs w:val="20"/>
        </w:rPr>
        <w:t>Nigeria’s Federal Ministry of Agriculture and Rural Development is to establish a Department of Youth in Agriculture. The main government-driven initiatives,</w:t>
      </w:r>
      <w:r w:rsidR="004B7001">
        <w:rPr>
          <w:rFonts w:ascii="Arial" w:hAnsi="Arial" w:cs="Arial"/>
          <w:sz w:val="20"/>
          <w:szCs w:val="20"/>
        </w:rPr>
        <w:t xml:space="preserve"> </w:t>
      </w:r>
      <w:r w:rsidRPr="0002792B">
        <w:rPr>
          <w:rFonts w:ascii="Arial" w:hAnsi="Arial" w:cs="Arial"/>
          <w:sz w:val="20"/>
          <w:szCs w:val="20"/>
        </w:rPr>
        <w:t>launched at policy level</w:t>
      </w:r>
      <w:r w:rsidR="004B7001">
        <w:rPr>
          <w:rFonts w:ascii="Arial" w:hAnsi="Arial" w:cs="Arial"/>
          <w:sz w:val="20"/>
          <w:szCs w:val="20"/>
        </w:rPr>
        <w:t xml:space="preserve"> </w:t>
      </w:r>
      <w:r w:rsidRPr="0002792B">
        <w:rPr>
          <w:rFonts w:ascii="Arial" w:hAnsi="Arial" w:cs="Arial"/>
          <w:sz w:val="20"/>
          <w:szCs w:val="20"/>
        </w:rPr>
        <w:t xml:space="preserve">in 2014, include Youth Employment in Agriculture Program (YEAP) and the </w:t>
      </w:r>
      <w:r w:rsidR="0069286C" w:rsidRPr="0069286C">
        <w:rPr>
          <w:rFonts w:ascii="Arial" w:hAnsi="Arial" w:cs="Arial"/>
          <w:sz w:val="20"/>
          <w:szCs w:val="20"/>
        </w:rPr>
        <w:t>Fund for Agricultural Finance in Nigeria (FAFIN).</w:t>
      </w:r>
    </w:p>
    <w:p w:rsidR="002659E6" w:rsidRDefault="002659E6" w:rsidP="00833C89">
      <w:pPr>
        <w:autoSpaceDE w:val="0"/>
        <w:autoSpaceDN w:val="0"/>
        <w:adjustRightInd w:val="0"/>
        <w:spacing w:after="120" w:line="240" w:lineRule="auto"/>
        <w:rPr>
          <w:rFonts w:ascii="Arial" w:hAnsi="Arial" w:cs="Arial"/>
          <w:sz w:val="20"/>
          <w:szCs w:val="20"/>
        </w:rPr>
      </w:pPr>
      <w:r w:rsidRPr="0069286C">
        <w:rPr>
          <w:rFonts w:ascii="Arial" w:hAnsi="Arial" w:cs="Arial"/>
          <w:sz w:val="20"/>
          <w:szCs w:val="20"/>
        </w:rPr>
        <w:t xml:space="preserve">The YEAP, which is similar to the IITA Youth </w:t>
      </w:r>
      <w:proofErr w:type="spellStart"/>
      <w:r w:rsidR="00D10393">
        <w:rPr>
          <w:rFonts w:ascii="Arial" w:hAnsi="Arial" w:cs="Arial"/>
          <w:sz w:val="20"/>
          <w:szCs w:val="20"/>
        </w:rPr>
        <w:t>Agripreneur</w:t>
      </w:r>
      <w:proofErr w:type="spellEnd"/>
      <w:r w:rsidRPr="0069286C">
        <w:rPr>
          <w:rFonts w:ascii="Arial" w:hAnsi="Arial" w:cs="Arial"/>
          <w:sz w:val="20"/>
          <w:szCs w:val="20"/>
        </w:rPr>
        <w:t xml:space="preserve"> model, is designed to reposition the agricultural sector by involving 760,000 youths in agribusiness within the next five years.</w:t>
      </w:r>
      <w:r w:rsidR="004B7001">
        <w:rPr>
          <w:rFonts w:ascii="Arial" w:hAnsi="Arial" w:cs="Arial"/>
          <w:sz w:val="20"/>
          <w:szCs w:val="20"/>
        </w:rPr>
        <w:t xml:space="preserve"> </w:t>
      </w:r>
      <w:r w:rsidRPr="0069286C">
        <w:rPr>
          <w:rFonts w:ascii="Arial" w:hAnsi="Arial" w:cs="Arial"/>
          <w:sz w:val="20"/>
          <w:szCs w:val="20"/>
        </w:rPr>
        <w:t>The YEAP program</w:t>
      </w:r>
      <w:r w:rsidR="004B7001">
        <w:rPr>
          <w:rFonts w:ascii="Arial" w:hAnsi="Arial" w:cs="Arial"/>
          <w:sz w:val="20"/>
          <w:szCs w:val="20"/>
        </w:rPr>
        <w:t>,</w:t>
      </w:r>
      <w:r w:rsidRPr="0069286C">
        <w:rPr>
          <w:rFonts w:ascii="Arial" w:hAnsi="Arial" w:cs="Arial"/>
          <w:sz w:val="20"/>
          <w:szCs w:val="20"/>
        </w:rPr>
        <w:t xml:space="preserve"> which is part of Nigeria’s </w:t>
      </w:r>
      <w:r w:rsidR="00E10121">
        <w:fldChar w:fldCharType="begin"/>
      </w:r>
      <w:r w:rsidR="00E10121">
        <w:instrText xml:space="preserve"> HYPERLINK "http://www.fmard.gov.ng/ata-fmard-transformation-agenda" \t "_blank</w:instrText>
      </w:r>
      <w:r w:rsidR="00E10121">
        <w:instrText xml:space="preserve">" \o "ATA" </w:instrText>
      </w:r>
      <w:r w:rsidR="00E10121">
        <w:fldChar w:fldCharType="separate"/>
      </w:r>
      <w:r w:rsidRPr="0069286C">
        <w:rPr>
          <w:rFonts w:ascii="Arial" w:hAnsi="Arial" w:cs="Arial"/>
          <w:sz w:val="20"/>
          <w:szCs w:val="20"/>
        </w:rPr>
        <w:t>Agricultural Transformation Agenda</w:t>
      </w:r>
      <w:r w:rsidR="00E10121">
        <w:rPr>
          <w:rFonts w:ascii="Arial" w:hAnsi="Arial" w:cs="Arial"/>
          <w:sz w:val="20"/>
          <w:szCs w:val="20"/>
        </w:rPr>
        <w:fldChar w:fldCharType="end"/>
      </w:r>
      <w:r w:rsidRPr="0069286C">
        <w:rPr>
          <w:rFonts w:ascii="Arial" w:hAnsi="Arial" w:cs="Arial"/>
          <w:sz w:val="20"/>
          <w:szCs w:val="20"/>
        </w:rPr>
        <w:t xml:space="preserve"> (</w:t>
      </w:r>
      <w:r w:rsidR="00E10121">
        <w:fldChar w:fldCharType="begin"/>
      </w:r>
      <w:r w:rsidR="00E10121">
        <w:instrText xml:space="preserve"> HYPERLINK "http://www.fmard.gov.ng/ata-fmard-transformation-agenda" \t "_blank" \o "ATA" </w:instrText>
      </w:r>
      <w:r w:rsidR="00E10121">
        <w:fldChar w:fldCharType="separate"/>
      </w:r>
      <w:r w:rsidRPr="0069286C">
        <w:rPr>
          <w:rFonts w:ascii="Arial" w:hAnsi="Arial" w:cs="Arial"/>
          <w:sz w:val="20"/>
          <w:szCs w:val="20"/>
        </w:rPr>
        <w:t>ATA</w:t>
      </w:r>
      <w:r w:rsidR="00E10121">
        <w:rPr>
          <w:rFonts w:ascii="Arial" w:hAnsi="Arial" w:cs="Arial"/>
          <w:sz w:val="20"/>
          <w:szCs w:val="20"/>
        </w:rPr>
        <w:fldChar w:fldCharType="end"/>
      </w:r>
      <w:r w:rsidRPr="0069286C">
        <w:rPr>
          <w:rFonts w:ascii="Arial" w:hAnsi="Arial" w:cs="Arial"/>
          <w:sz w:val="20"/>
          <w:szCs w:val="20"/>
        </w:rPr>
        <w:t>)</w:t>
      </w:r>
      <w:r w:rsidR="004B7001">
        <w:rPr>
          <w:rFonts w:ascii="Arial" w:hAnsi="Arial" w:cs="Arial"/>
          <w:sz w:val="20"/>
          <w:szCs w:val="20"/>
        </w:rPr>
        <w:t>,</w:t>
      </w:r>
      <w:r w:rsidRPr="0069286C">
        <w:rPr>
          <w:rFonts w:ascii="Arial" w:hAnsi="Arial" w:cs="Arial"/>
          <w:sz w:val="20"/>
          <w:szCs w:val="20"/>
        </w:rPr>
        <w:t xml:space="preserve"> will involve at least 20,000 youths from each state of the federation.</w:t>
      </w:r>
      <w:r w:rsidR="004B7001">
        <w:rPr>
          <w:rFonts w:ascii="Arial" w:hAnsi="Arial" w:cs="Arial"/>
          <w:sz w:val="20"/>
          <w:szCs w:val="20"/>
        </w:rPr>
        <w:t xml:space="preserve"> </w:t>
      </w:r>
      <w:r w:rsidR="00E10121">
        <w:fldChar w:fldCharType="begin"/>
      </w:r>
      <w:r w:rsidR="00E10121">
        <w:instrText xml:space="preserve"> HYPERLINK "http://www.fafinnigeria.</w:instrText>
      </w:r>
      <w:r w:rsidR="00E10121">
        <w:instrText xml:space="preserve">com/" \t "_blank" \o "FAFIN" </w:instrText>
      </w:r>
      <w:r w:rsidR="00E10121">
        <w:fldChar w:fldCharType="separate"/>
      </w:r>
      <w:r w:rsidRPr="0002792B">
        <w:rPr>
          <w:rFonts w:ascii="Arial" w:hAnsi="Arial" w:cs="Arial"/>
          <w:sz w:val="20"/>
          <w:szCs w:val="20"/>
        </w:rPr>
        <w:t>FAFIN</w:t>
      </w:r>
      <w:r w:rsidR="00E10121">
        <w:rPr>
          <w:rFonts w:ascii="Arial" w:hAnsi="Arial" w:cs="Arial"/>
          <w:sz w:val="20"/>
          <w:szCs w:val="20"/>
        </w:rPr>
        <w:fldChar w:fldCharType="end"/>
      </w:r>
      <w:r w:rsidRPr="0002792B">
        <w:rPr>
          <w:rFonts w:ascii="Arial" w:hAnsi="Arial" w:cs="Arial"/>
          <w:sz w:val="20"/>
          <w:szCs w:val="20"/>
        </w:rPr>
        <w:t xml:space="preserve"> is a financing vehicle targeting Nigeria’s small and medium enterprises in agriculture.</w:t>
      </w:r>
    </w:p>
    <w:p w:rsidR="002659E6" w:rsidRPr="0002792B" w:rsidRDefault="002659E6" w:rsidP="006D01EE">
      <w:pPr>
        <w:autoSpaceDE w:val="0"/>
        <w:autoSpaceDN w:val="0"/>
        <w:adjustRightInd w:val="0"/>
        <w:spacing w:after="120" w:line="240" w:lineRule="auto"/>
        <w:rPr>
          <w:rFonts w:ascii="Arial" w:hAnsi="Arial" w:cs="Arial"/>
          <w:sz w:val="20"/>
          <w:szCs w:val="20"/>
        </w:rPr>
      </w:pPr>
      <w:r w:rsidRPr="0002792B">
        <w:rPr>
          <w:rFonts w:ascii="Arial" w:hAnsi="Arial" w:cs="Arial"/>
          <w:sz w:val="20"/>
          <w:szCs w:val="20"/>
        </w:rPr>
        <w:t>The Youth Initiative for Sustainable</w:t>
      </w:r>
      <w:r w:rsidR="00833C89">
        <w:rPr>
          <w:rFonts w:ascii="Arial" w:hAnsi="Arial" w:cs="Arial"/>
          <w:sz w:val="20"/>
          <w:szCs w:val="20"/>
        </w:rPr>
        <w:t xml:space="preserve"> </w:t>
      </w:r>
      <w:r w:rsidR="00D10393">
        <w:rPr>
          <w:rFonts w:ascii="Arial" w:hAnsi="Arial" w:cs="Arial"/>
          <w:sz w:val="20"/>
          <w:szCs w:val="20"/>
        </w:rPr>
        <w:t xml:space="preserve">Agriculture </w:t>
      </w:r>
      <w:r w:rsidRPr="0002792B">
        <w:rPr>
          <w:rFonts w:ascii="Arial" w:hAnsi="Arial" w:cs="Arial"/>
          <w:sz w:val="20"/>
          <w:szCs w:val="20"/>
        </w:rPr>
        <w:t>aims to</w:t>
      </w:r>
      <w:r w:rsidR="00833C89">
        <w:rPr>
          <w:rFonts w:ascii="Arial" w:hAnsi="Arial" w:cs="Arial"/>
          <w:sz w:val="20"/>
          <w:szCs w:val="20"/>
        </w:rPr>
        <w:t xml:space="preserve"> </w:t>
      </w:r>
      <w:r w:rsidRPr="0002792B">
        <w:rPr>
          <w:rFonts w:ascii="Arial" w:hAnsi="Arial" w:cs="Arial"/>
          <w:sz w:val="20"/>
          <w:szCs w:val="20"/>
        </w:rPr>
        <w:t>communicate the positive image of agriculture to young Nigerians, reaching and creating a large pool of youths to actively participate in agricultural production and marketing usin</w:t>
      </w:r>
      <w:r>
        <w:rPr>
          <w:rFonts w:ascii="Arial" w:hAnsi="Arial" w:cs="Arial"/>
          <w:sz w:val="20"/>
          <w:szCs w:val="20"/>
        </w:rPr>
        <w:t>g new technological innovations</w:t>
      </w:r>
      <w:r w:rsidRPr="0002792B">
        <w:rPr>
          <w:rFonts w:ascii="Arial" w:hAnsi="Arial" w:cs="Arial"/>
          <w:sz w:val="20"/>
          <w:szCs w:val="20"/>
        </w:rPr>
        <w:t xml:space="preserve"> - organizing young farmers along crop specific clusters including, rice, cassava, tomato, oil</w:t>
      </w:r>
      <w:r w:rsidR="008762E8">
        <w:rPr>
          <w:rFonts w:ascii="Arial" w:hAnsi="Arial" w:cs="Arial"/>
          <w:sz w:val="20"/>
          <w:szCs w:val="20"/>
        </w:rPr>
        <w:t xml:space="preserve"> </w:t>
      </w:r>
      <w:r w:rsidRPr="0002792B">
        <w:rPr>
          <w:rFonts w:ascii="Arial" w:hAnsi="Arial" w:cs="Arial"/>
          <w:sz w:val="20"/>
          <w:szCs w:val="20"/>
        </w:rPr>
        <w:t xml:space="preserve">palm, sorghum and soybean. </w:t>
      </w:r>
    </w:p>
    <w:p w:rsidR="002659E6" w:rsidRDefault="002659E6" w:rsidP="006D01EE">
      <w:pPr>
        <w:autoSpaceDE w:val="0"/>
        <w:autoSpaceDN w:val="0"/>
        <w:adjustRightInd w:val="0"/>
        <w:spacing w:after="120" w:line="240" w:lineRule="auto"/>
        <w:rPr>
          <w:rFonts w:ascii="Arial" w:hAnsi="Arial" w:cs="Arial"/>
          <w:sz w:val="20"/>
          <w:szCs w:val="20"/>
        </w:rPr>
      </w:pPr>
      <w:r w:rsidRPr="0002792B">
        <w:rPr>
          <w:rFonts w:ascii="Arial" w:hAnsi="Arial" w:cs="Arial"/>
          <w:sz w:val="20"/>
          <w:szCs w:val="20"/>
        </w:rPr>
        <w:t xml:space="preserve">IITA’s Youth </w:t>
      </w:r>
      <w:proofErr w:type="spellStart"/>
      <w:r w:rsidRPr="0002792B">
        <w:rPr>
          <w:rFonts w:ascii="Arial" w:hAnsi="Arial" w:cs="Arial"/>
          <w:sz w:val="20"/>
          <w:szCs w:val="20"/>
        </w:rPr>
        <w:t>Agripreneurs</w:t>
      </w:r>
      <w:proofErr w:type="spellEnd"/>
      <w:r w:rsidRPr="0002792B">
        <w:rPr>
          <w:rFonts w:ascii="Arial" w:hAnsi="Arial" w:cs="Arial"/>
          <w:sz w:val="20"/>
          <w:szCs w:val="20"/>
        </w:rPr>
        <w:t xml:space="preserve"> aims to support young graduates get into agriculture. The initiative targets a wide range of crops and technologies including seed multiplica</w:t>
      </w:r>
      <w:r w:rsidR="00D10393">
        <w:rPr>
          <w:rFonts w:ascii="Arial" w:hAnsi="Arial" w:cs="Arial"/>
          <w:sz w:val="20"/>
          <w:szCs w:val="20"/>
        </w:rPr>
        <w:t>tion, maize certified seed, pro-</w:t>
      </w:r>
      <w:r w:rsidRPr="0002792B">
        <w:rPr>
          <w:rFonts w:ascii="Arial" w:hAnsi="Arial" w:cs="Arial"/>
          <w:sz w:val="20"/>
          <w:szCs w:val="20"/>
        </w:rPr>
        <w:t>vitamin A, cassava stem, plantain and banana suckers, among others. The activities of the group cut across the value-chains of different crops</w:t>
      </w:r>
      <w:r w:rsidRPr="0002792B">
        <w:rPr>
          <w:rStyle w:val="FootnoteReference"/>
          <w:rFonts w:ascii="Arial" w:hAnsi="Arial" w:cs="Arial"/>
          <w:sz w:val="20"/>
          <w:szCs w:val="20"/>
        </w:rPr>
        <w:footnoteReference w:id="35"/>
      </w:r>
      <w:r w:rsidRPr="0002792B">
        <w:rPr>
          <w:rFonts w:ascii="Arial" w:hAnsi="Arial" w:cs="Arial"/>
          <w:sz w:val="20"/>
          <w:szCs w:val="20"/>
        </w:rPr>
        <w:t>.</w:t>
      </w:r>
    </w:p>
    <w:p w:rsidR="002659E6" w:rsidRDefault="002659E6" w:rsidP="006D01EE">
      <w:pPr>
        <w:spacing w:before="240" w:after="0" w:line="240" w:lineRule="auto"/>
        <w:rPr>
          <w:rFonts w:ascii="Arial" w:hAnsi="Arial" w:cs="Arial"/>
          <w:b/>
          <w:color w:val="92D050"/>
          <w:sz w:val="24"/>
          <w:szCs w:val="24"/>
        </w:rPr>
      </w:pPr>
      <w:r w:rsidRPr="00B73FA9">
        <w:rPr>
          <w:rFonts w:ascii="Arial" w:hAnsi="Arial" w:cs="Arial"/>
          <w:b/>
          <w:color w:val="92D050"/>
          <w:sz w:val="24"/>
          <w:szCs w:val="24"/>
        </w:rPr>
        <w:t>PARTNERS</w:t>
      </w:r>
    </w:p>
    <w:p w:rsidR="002659E6" w:rsidRDefault="002659E6" w:rsidP="006D01EE">
      <w:pPr>
        <w:pStyle w:val="ListParagraph"/>
        <w:spacing w:after="0" w:line="240" w:lineRule="auto"/>
        <w:ind w:left="0"/>
        <w:rPr>
          <w:rFonts w:ascii="Times New Roman" w:hAnsi="Times New Roman"/>
          <w:sz w:val="24"/>
          <w:szCs w:val="24"/>
        </w:rPr>
      </w:pPr>
    </w:p>
    <w:p w:rsidR="002659E6" w:rsidRDefault="002659E6" w:rsidP="006D01EE">
      <w:pPr>
        <w:spacing w:after="0" w:line="240" w:lineRule="auto"/>
        <w:rPr>
          <w:rFonts w:ascii="Arial" w:hAnsi="Arial" w:cs="Arial"/>
          <w:b/>
          <w:color w:val="92D050"/>
          <w:sz w:val="24"/>
          <w:szCs w:val="24"/>
        </w:rPr>
      </w:pPr>
      <w:r w:rsidRPr="00B73FA9">
        <w:rPr>
          <w:rFonts w:ascii="Arial" w:hAnsi="Arial" w:cs="Arial"/>
          <w:b/>
          <w:color w:val="92D050"/>
          <w:sz w:val="24"/>
          <w:szCs w:val="24"/>
        </w:rPr>
        <w:t>Potential development partners</w:t>
      </w:r>
    </w:p>
    <w:p w:rsidR="00A60ABD" w:rsidRPr="00B73FA9" w:rsidRDefault="00A60ABD" w:rsidP="006D01EE">
      <w:pPr>
        <w:spacing w:after="0" w:line="240" w:lineRule="auto"/>
        <w:rPr>
          <w:rFonts w:ascii="Arial" w:hAnsi="Arial" w:cs="Arial"/>
          <w:b/>
          <w:color w:val="92D050"/>
          <w:sz w:val="24"/>
          <w:szCs w:val="24"/>
        </w:rPr>
      </w:pPr>
    </w:p>
    <w:p w:rsidR="002659E6" w:rsidRPr="0002792B" w:rsidRDefault="002659E6" w:rsidP="006D01EE">
      <w:pPr>
        <w:spacing w:after="120" w:line="240" w:lineRule="auto"/>
        <w:rPr>
          <w:rFonts w:ascii="Arial" w:hAnsi="Arial" w:cs="Arial"/>
          <w:b/>
          <w:sz w:val="20"/>
          <w:szCs w:val="20"/>
        </w:rPr>
      </w:pPr>
      <w:r>
        <w:rPr>
          <w:rFonts w:ascii="Arial" w:hAnsi="Arial" w:cs="Arial"/>
          <w:sz w:val="20"/>
          <w:szCs w:val="20"/>
        </w:rPr>
        <w:t>T</w:t>
      </w:r>
      <w:r w:rsidRPr="0002792B">
        <w:rPr>
          <w:rFonts w:ascii="Arial" w:hAnsi="Arial" w:cs="Arial"/>
          <w:sz w:val="20"/>
          <w:szCs w:val="20"/>
        </w:rPr>
        <w:t>hese are agencies with project funding or access to other sources of investment that have been identified in the scoping study as being strong candidates for inclusion in the Nigeria campaigns.</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 xml:space="preserve">IFDC/PRIME project </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w:t>
      </w:r>
      <w:proofErr w:type="spellStart"/>
      <w:r w:rsidRPr="0002792B">
        <w:rPr>
          <w:rFonts w:ascii="Arial" w:hAnsi="Arial" w:cs="Arial"/>
          <w:b/>
          <w:sz w:val="20"/>
          <w:szCs w:val="20"/>
        </w:rPr>
        <w:t>Produire</w:t>
      </w:r>
      <w:proofErr w:type="spellEnd"/>
      <w:r w:rsidRPr="0002792B">
        <w:rPr>
          <w:rFonts w:ascii="Arial" w:hAnsi="Arial" w:cs="Arial"/>
          <w:b/>
          <w:sz w:val="20"/>
          <w:szCs w:val="20"/>
        </w:rPr>
        <w:t xml:space="preserve"> plus de </w:t>
      </w:r>
      <w:proofErr w:type="spellStart"/>
      <w:r w:rsidRPr="0002792B">
        <w:rPr>
          <w:rFonts w:ascii="Arial" w:hAnsi="Arial" w:cs="Arial"/>
          <w:b/>
          <w:sz w:val="20"/>
          <w:szCs w:val="20"/>
        </w:rPr>
        <w:t>Riz</w:t>
      </w:r>
      <w:proofErr w:type="spellEnd"/>
      <w:r w:rsidRPr="0002792B">
        <w:rPr>
          <w:rFonts w:ascii="Arial" w:hAnsi="Arial" w:cs="Arial"/>
          <w:b/>
          <w:sz w:val="20"/>
          <w:szCs w:val="20"/>
        </w:rPr>
        <w:t xml:space="preserve"> avec </w:t>
      </w:r>
      <w:proofErr w:type="spellStart"/>
      <w:r w:rsidRPr="0002792B">
        <w:rPr>
          <w:rFonts w:ascii="Arial" w:hAnsi="Arial" w:cs="Arial"/>
          <w:b/>
          <w:sz w:val="20"/>
          <w:szCs w:val="20"/>
        </w:rPr>
        <w:t>Moinsd’Engrais</w:t>
      </w:r>
      <w:proofErr w:type="spellEnd"/>
      <w:r w:rsidRPr="0002792B">
        <w:rPr>
          <w:rFonts w:ascii="Arial" w:hAnsi="Arial" w:cs="Arial"/>
          <w:b/>
          <w:sz w:val="20"/>
          <w:szCs w:val="20"/>
        </w:rPr>
        <w:t xml:space="preserve"> = Produce more Rice with Less Fertilizer)</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Funder of program:</w:t>
      </w:r>
      <w:r w:rsidR="00833C89">
        <w:rPr>
          <w:rFonts w:ascii="Arial" w:hAnsi="Arial" w:cs="Arial"/>
          <w:b/>
          <w:sz w:val="20"/>
          <w:szCs w:val="20"/>
        </w:rPr>
        <w:t xml:space="preserve"> </w:t>
      </w:r>
      <w:r w:rsidRPr="006C2B13">
        <w:rPr>
          <w:rFonts w:ascii="Arial" w:hAnsi="Arial" w:cs="Arial"/>
          <w:sz w:val="20"/>
          <w:szCs w:val="20"/>
        </w:rPr>
        <w:t>B&amp;MGF via IITA/COMPROII</w:t>
      </w:r>
    </w:p>
    <w:p w:rsidR="002659E6" w:rsidRDefault="002659E6" w:rsidP="006D01EE">
      <w:pPr>
        <w:spacing w:after="120" w:line="240" w:lineRule="auto"/>
        <w:rPr>
          <w:rFonts w:ascii="Arial" w:hAnsi="Arial" w:cs="Arial"/>
          <w:sz w:val="20"/>
          <w:szCs w:val="20"/>
        </w:rPr>
      </w:pPr>
      <w:r w:rsidRPr="0002792B">
        <w:rPr>
          <w:rFonts w:ascii="Arial" w:hAnsi="Arial" w:cs="Arial"/>
          <w:b/>
          <w:sz w:val="20"/>
          <w:szCs w:val="20"/>
        </w:rPr>
        <w:lastRenderedPageBreak/>
        <w:t>Crop/ technology:</w:t>
      </w:r>
      <w:r w:rsidR="008762E8">
        <w:rPr>
          <w:rFonts w:ascii="Arial" w:hAnsi="Arial" w:cs="Arial"/>
          <w:b/>
          <w:sz w:val="20"/>
          <w:szCs w:val="20"/>
        </w:rPr>
        <w:t xml:space="preserve"> </w:t>
      </w:r>
      <w:r>
        <w:rPr>
          <w:rFonts w:ascii="Arial" w:hAnsi="Arial" w:cs="Arial"/>
          <w:sz w:val="20"/>
          <w:szCs w:val="20"/>
        </w:rPr>
        <w:t>Rice/Urea Deep Placement</w:t>
      </w:r>
    </w:p>
    <w:p w:rsidR="002659E6" w:rsidRPr="0002792B" w:rsidRDefault="002659E6" w:rsidP="006D01EE">
      <w:pPr>
        <w:spacing w:after="120" w:line="240" w:lineRule="auto"/>
        <w:rPr>
          <w:rFonts w:ascii="Arial" w:hAnsi="Arial" w:cs="Arial"/>
          <w:sz w:val="20"/>
          <w:szCs w:val="20"/>
        </w:rPr>
      </w:pPr>
      <w:r w:rsidRPr="0002792B">
        <w:rPr>
          <w:rFonts w:ascii="Arial" w:hAnsi="Arial" w:cs="Arial"/>
          <w:b/>
          <w:sz w:val="20"/>
          <w:szCs w:val="20"/>
        </w:rPr>
        <w:t>Project duration:</w:t>
      </w:r>
      <w:r w:rsidRPr="0002792B">
        <w:rPr>
          <w:rFonts w:ascii="Arial" w:hAnsi="Arial" w:cs="Arial"/>
          <w:sz w:val="20"/>
          <w:szCs w:val="20"/>
        </w:rPr>
        <w:t xml:space="preserve"> to 2018</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This project focuses on promoting Urea Deep Placement to boost rice production and support the marketing of the crop in Benin, Burkina Faso, Cape Verde, Côte d'Ivoire, Gambia, </w:t>
      </w:r>
      <w:r w:rsidRPr="0002792B">
        <w:rPr>
          <w:rFonts w:ascii="Arial" w:hAnsi="Arial" w:cs="Arial"/>
          <w:b/>
          <w:sz w:val="20"/>
          <w:szCs w:val="20"/>
        </w:rPr>
        <w:t>Ghana</w:t>
      </w:r>
      <w:r w:rsidRPr="0002792B">
        <w:rPr>
          <w:rFonts w:ascii="Arial" w:hAnsi="Arial" w:cs="Arial"/>
          <w:sz w:val="20"/>
          <w:szCs w:val="20"/>
        </w:rPr>
        <w:t xml:space="preserve">, Guinea, Guinea Bissau, Liberia, Mali, Niger, </w:t>
      </w:r>
      <w:r w:rsidRPr="0002792B">
        <w:rPr>
          <w:rFonts w:ascii="Arial" w:hAnsi="Arial" w:cs="Arial"/>
          <w:b/>
          <w:sz w:val="20"/>
          <w:szCs w:val="20"/>
        </w:rPr>
        <w:t>Nigeria</w:t>
      </w:r>
      <w:r w:rsidRPr="0002792B">
        <w:rPr>
          <w:rFonts w:ascii="Arial" w:hAnsi="Arial" w:cs="Arial"/>
          <w:sz w:val="20"/>
          <w:szCs w:val="20"/>
        </w:rPr>
        <w:t xml:space="preserve">, Senegal, Sierra Leone and Togo. The main technologies being promoted is the deep placement </w:t>
      </w:r>
      <w:r>
        <w:rPr>
          <w:rFonts w:ascii="Arial" w:hAnsi="Arial" w:cs="Arial"/>
          <w:sz w:val="20"/>
          <w:szCs w:val="20"/>
        </w:rPr>
        <w:t>of u</w:t>
      </w:r>
      <w:r w:rsidRPr="0002792B">
        <w:rPr>
          <w:rFonts w:ascii="Arial" w:hAnsi="Arial" w:cs="Arial"/>
          <w:sz w:val="20"/>
          <w:szCs w:val="20"/>
        </w:rPr>
        <w:t>rea supper granules in rice cropping systems and fertilizer micro dosing. Support initiatives include addr</w:t>
      </w:r>
      <w:r>
        <w:rPr>
          <w:rFonts w:ascii="Arial" w:hAnsi="Arial" w:cs="Arial"/>
          <w:sz w:val="20"/>
          <w:szCs w:val="20"/>
        </w:rPr>
        <w:t>essing issues around access to u</w:t>
      </w:r>
      <w:r w:rsidRPr="0002792B">
        <w:rPr>
          <w:rFonts w:ascii="Arial" w:hAnsi="Arial" w:cs="Arial"/>
          <w:sz w:val="20"/>
          <w:szCs w:val="20"/>
        </w:rPr>
        <w:t xml:space="preserve">rea fertilizer, manufacture/assembly and access to granulating equipment in the target countries. </w:t>
      </w:r>
    </w:p>
    <w:p w:rsidR="002659E6" w:rsidRPr="006C2B13" w:rsidRDefault="002659E6" w:rsidP="006D01EE">
      <w:pPr>
        <w:spacing w:after="120" w:line="240" w:lineRule="auto"/>
        <w:rPr>
          <w:rFonts w:ascii="Arial" w:hAnsi="Arial" w:cs="Arial"/>
          <w:b/>
          <w:sz w:val="20"/>
          <w:szCs w:val="20"/>
        </w:rPr>
      </w:pPr>
      <w:proofErr w:type="spellStart"/>
      <w:r w:rsidRPr="006C2B13">
        <w:rPr>
          <w:rFonts w:ascii="Arial" w:hAnsi="Arial" w:cs="Arial"/>
          <w:b/>
          <w:sz w:val="20"/>
          <w:szCs w:val="20"/>
        </w:rPr>
        <w:t>Notore</w:t>
      </w:r>
      <w:proofErr w:type="spellEnd"/>
      <w:r w:rsidRPr="006C2B13">
        <w:rPr>
          <w:rFonts w:ascii="Arial" w:hAnsi="Arial" w:cs="Arial"/>
          <w:b/>
          <w:sz w:val="20"/>
          <w:szCs w:val="20"/>
        </w:rPr>
        <w:t xml:space="preserve"> Chemical Industries </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Funder of program:</w:t>
      </w:r>
      <w:r w:rsidR="00833C89">
        <w:rPr>
          <w:rFonts w:ascii="Arial" w:hAnsi="Arial" w:cs="Arial"/>
          <w:b/>
          <w:sz w:val="20"/>
          <w:szCs w:val="20"/>
        </w:rPr>
        <w:t xml:space="preserve"> </w:t>
      </w:r>
      <w:r>
        <w:rPr>
          <w:rFonts w:ascii="Arial" w:hAnsi="Arial" w:cs="Arial"/>
          <w:sz w:val="20"/>
          <w:szCs w:val="20"/>
        </w:rPr>
        <w:t>B&amp;</w:t>
      </w:r>
      <w:r w:rsidRPr="0002792B">
        <w:rPr>
          <w:rFonts w:ascii="Arial" w:hAnsi="Arial" w:cs="Arial"/>
          <w:sz w:val="20"/>
          <w:szCs w:val="20"/>
        </w:rPr>
        <w:t>M</w:t>
      </w:r>
      <w:r>
        <w:rPr>
          <w:rFonts w:ascii="Arial" w:hAnsi="Arial" w:cs="Arial"/>
          <w:sz w:val="20"/>
          <w:szCs w:val="20"/>
        </w:rPr>
        <w:t>G</w:t>
      </w:r>
      <w:r w:rsidRPr="0002792B">
        <w:rPr>
          <w:rFonts w:ascii="Arial" w:hAnsi="Arial" w:cs="Arial"/>
          <w:sz w:val="20"/>
          <w:szCs w:val="20"/>
        </w:rPr>
        <w:t xml:space="preserve">F via </w:t>
      </w:r>
      <w:r w:rsidRPr="0002792B">
        <w:rPr>
          <w:rFonts w:ascii="Arial" w:hAnsi="Arial" w:cs="Arial"/>
          <w:b/>
          <w:sz w:val="20"/>
          <w:szCs w:val="20"/>
        </w:rPr>
        <w:t>IITA/COMPROII</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Crop/ technology:</w:t>
      </w:r>
      <w:r w:rsidR="008762E8">
        <w:rPr>
          <w:rFonts w:ascii="Arial" w:hAnsi="Arial" w:cs="Arial"/>
          <w:b/>
          <w:sz w:val="20"/>
          <w:szCs w:val="20"/>
        </w:rPr>
        <w:t xml:space="preserve"> </w:t>
      </w:r>
      <w:r w:rsidRPr="0002792B">
        <w:rPr>
          <w:rFonts w:ascii="Arial" w:eastAsia="Times New Roman" w:hAnsi="Arial" w:cs="Arial"/>
          <w:sz w:val="20"/>
          <w:szCs w:val="20"/>
        </w:rPr>
        <w:t xml:space="preserve">Scale up of </w:t>
      </w:r>
      <w:r>
        <w:rPr>
          <w:rFonts w:ascii="Arial" w:eastAsia="Times New Roman" w:hAnsi="Arial" w:cs="Arial"/>
          <w:sz w:val="20"/>
          <w:szCs w:val="20"/>
        </w:rPr>
        <w:t>s</w:t>
      </w:r>
      <w:r w:rsidR="00833C89">
        <w:rPr>
          <w:rFonts w:ascii="Arial" w:eastAsia="Times New Roman" w:hAnsi="Arial" w:cs="Arial"/>
          <w:sz w:val="20"/>
          <w:szCs w:val="20"/>
        </w:rPr>
        <w:t>oybean production with r</w:t>
      </w:r>
      <w:r w:rsidRPr="0002792B">
        <w:rPr>
          <w:rFonts w:ascii="Arial" w:eastAsia="Times New Roman" w:hAnsi="Arial" w:cs="Arial"/>
          <w:sz w:val="20"/>
          <w:szCs w:val="20"/>
        </w:rPr>
        <w:t>hizobium inoculation technology.</w:t>
      </w:r>
    </w:p>
    <w:p w:rsidR="002659E6" w:rsidRPr="0002792B" w:rsidRDefault="002659E6" w:rsidP="006D01EE">
      <w:pPr>
        <w:spacing w:after="120" w:line="240" w:lineRule="auto"/>
        <w:rPr>
          <w:rFonts w:ascii="Arial" w:hAnsi="Arial" w:cs="Arial"/>
          <w:sz w:val="20"/>
          <w:szCs w:val="20"/>
        </w:rPr>
      </w:pPr>
      <w:r w:rsidRPr="0002792B">
        <w:rPr>
          <w:rFonts w:ascii="Arial" w:hAnsi="Arial" w:cs="Arial"/>
          <w:b/>
          <w:sz w:val="20"/>
          <w:szCs w:val="20"/>
        </w:rPr>
        <w:t>Project duration:</w:t>
      </w:r>
      <w:r w:rsidRPr="0002792B">
        <w:rPr>
          <w:rFonts w:ascii="Arial" w:hAnsi="Arial" w:cs="Arial"/>
          <w:sz w:val="20"/>
          <w:szCs w:val="20"/>
        </w:rPr>
        <w:t xml:space="preserve"> to 2016</w:t>
      </w:r>
    </w:p>
    <w:p w:rsidR="002659E6" w:rsidRPr="0002792B" w:rsidRDefault="002659E6" w:rsidP="006D01EE">
      <w:pPr>
        <w:spacing w:after="120" w:line="240" w:lineRule="auto"/>
        <w:rPr>
          <w:rFonts w:ascii="Arial" w:hAnsi="Arial" w:cs="Arial"/>
          <w:sz w:val="20"/>
          <w:szCs w:val="20"/>
        </w:rPr>
      </w:pPr>
      <w:proofErr w:type="spellStart"/>
      <w:r w:rsidRPr="0002792B">
        <w:rPr>
          <w:rFonts w:ascii="Arial" w:hAnsi="Arial" w:cs="Arial"/>
          <w:sz w:val="20"/>
          <w:szCs w:val="20"/>
        </w:rPr>
        <w:t>Notore</w:t>
      </w:r>
      <w:proofErr w:type="spellEnd"/>
      <w:r w:rsidR="00833C89">
        <w:rPr>
          <w:rFonts w:ascii="Arial" w:hAnsi="Arial" w:cs="Arial"/>
          <w:sz w:val="20"/>
          <w:szCs w:val="20"/>
        </w:rPr>
        <w:t xml:space="preserve"> </w:t>
      </w:r>
      <w:r w:rsidRPr="0002792B">
        <w:rPr>
          <w:rFonts w:ascii="Arial" w:hAnsi="Arial" w:cs="Arial"/>
          <w:sz w:val="20"/>
          <w:szCs w:val="20"/>
        </w:rPr>
        <w:t xml:space="preserve">is a private sector company involved in fertilizer sale and promotion in a number for cropping systems in Nigeria including maize, rice, vegetables, sorghum, cassava, millet and yam. They operate at scale in all parts of Nigeria. In </w:t>
      </w:r>
      <w:r>
        <w:rPr>
          <w:rFonts w:ascii="Arial" w:hAnsi="Arial" w:cs="Arial"/>
          <w:sz w:val="20"/>
          <w:szCs w:val="20"/>
        </w:rPr>
        <w:t>a joint v</w:t>
      </w:r>
      <w:r w:rsidRPr="0002792B">
        <w:rPr>
          <w:rFonts w:ascii="Arial" w:hAnsi="Arial" w:cs="Arial"/>
          <w:sz w:val="20"/>
          <w:szCs w:val="20"/>
        </w:rPr>
        <w:t xml:space="preserve">enture with Mitsubishi, </w:t>
      </w:r>
      <w:proofErr w:type="spellStart"/>
      <w:r w:rsidRPr="0002792B">
        <w:rPr>
          <w:rFonts w:ascii="Arial" w:hAnsi="Arial" w:cs="Arial"/>
          <w:sz w:val="20"/>
          <w:szCs w:val="20"/>
        </w:rPr>
        <w:t>Notore</w:t>
      </w:r>
      <w:proofErr w:type="spellEnd"/>
      <w:r w:rsidRPr="0002792B">
        <w:rPr>
          <w:rFonts w:ascii="Arial" w:hAnsi="Arial" w:cs="Arial"/>
          <w:sz w:val="20"/>
          <w:szCs w:val="20"/>
        </w:rPr>
        <w:t xml:space="preserve"> is expanding its fertilizer production capacity to over 2.75 million </w:t>
      </w:r>
      <w:proofErr w:type="spellStart"/>
      <w:r w:rsidRPr="0002792B">
        <w:rPr>
          <w:rFonts w:ascii="Arial" w:hAnsi="Arial" w:cs="Arial"/>
          <w:sz w:val="20"/>
          <w:szCs w:val="20"/>
        </w:rPr>
        <w:t>tonnes</w:t>
      </w:r>
      <w:proofErr w:type="spellEnd"/>
      <w:r w:rsidRPr="0002792B">
        <w:rPr>
          <w:rFonts w:ascii="Arial" w:hAnsi="Arial" w:cs="Arial"/>
          <w:sz w:val="20"/>
          <w:szCs w:val="20"/>
        </w:rPr>
        <w:t>/year</w:t>
      </w:r>
      <w:r w:rsidRPr="0002792B">
        <w:rPr>
          <w:rStyle w:val="FootnoteReference"/>
          <w:rFonts w:ascii="Arial" w:hAnsi="Arial" w:cs="Arial"/>
          <w:sz w:val="20"/>
          <w:szCs w:val="20"/>
        </w:rPr>
        <w:footnoteReference w:id="36"/>
      </w:r>
      <w:r>
        <w:rPr>
          <w:rFonts w:ascii="Arial" w:hAnsi="Arial" w:cs="Arial"/>
          <w:sz w:val="20"/>
          <w:szCs w:val="20"/>
        </w:rPr>
        <w:t>.</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Since 2013, </w:t>
      </w:r>
      <w:proofErr w:type="spellStart"/>
      <w:r w:rsidRPr="0002792B">
        <w:rPr>
          <w:rFonts w:ascii="Arial" w:hAnsi="Arial" w:cs="Arial"/>
          <w:sz w:val="20"/>
          <w:szCs w:val="20"/>
        </w:rPr>
        <w:t>Notore</w:t>
      </w:r>
      <w:proofErr w:type="spellEnd"/>
      <w:r w:rsidRPr="0002792B">
        <w:rPr>
          <w:rFonts w:ascii="Arial" w:hAnsi="Arial" w:cs="Arial"/>
          <w:sz w:val="20"/>
          <w:szCs w:val="20"/>
        </w:rPr>
        <w:t xml:space="preserve"> also joined the COMPROII project (an IITA-led initiative) as the lead dissemination partner for commercial products including bio-fertilizers and bio-pesticides. Other partners in the inoculant technology promotion include IITA that has established a manufacturing plant in Ibadan to produce NODUMAX, a strain of effective rhizobium. N2Africa (see below) has also actively engaged with </w:t>
      </w:r>
      <w:proofErr w:type="spellStart"/>
      <w:r w:rsidRPr="0002792B">
        <w:rPr>
          <w:rFonts w:ascii="Arial" w:hAnsi="Arial" w:cs="Arial"/>
          <w:sz w:val="20"/>
          <w:szCs w:val="20"/>
        </w:rPr>
        <w:t>Notore</w:t>
      </w:r>
      <w:proofErr w:type="spellEnd"/>
      <w:r w:rsidRPr="0002792B">
        <w:rPr>
          <w:rFonts w:ascii="Arial" w:hAnsi="Arial" w:cs="Arial"/>
          <w:sz w:val="20"/>
          <w:szCs w:val="20"/>
        </w:rPr>
        <w:t xml:space="preserve"> in testing and promotion </w:t>
      </w:r>
      <w:proofErr w:type="spellStart"/>
      <w:r w:rsidRPr="0002792B">
        <w:rPr>
          <w:rFonts w:ascii="Arial" w:hAnsi="Arial" w:cs="Arial"/>
          <w:sz w:val="20"/>
          <w:szCs w:val="20"/>
        </w:rPr>
        <w:t>Legumefix</w:t>
      </w:r>
      <w:proofErr w:type="spellEnd"/>
      <w:r w:rsidRPr="0002792B">
        <w:rPr>
          <w:rFonts w:ascii="Arial" w:hAnsi="Arial" w:cs="Arial"/>
          <w:sz w:val="20"/>
          <w:szCs w:val="20"/>
        </w:rPr>
        <w:t xml:space="preserve">. </w:t>
      </w:r>
      <w:proofErr w:type="spellStart"/>
      <w:r w:rsidRPr="0002792B">
        <w:rPr>
          <w:rFonts w:ascii="Arial" w:hAnsi="Arial" w:cs="Arial"/>
          <w:sz w:val="20"/>
          <w:szCs w:val="20"/>
        </w:rPr>
        <w:t>Notore</w:t>
      </w:r>
      <w:proofErr w:type="spellEnd"/>
      <w:r w:rsidRPr="0002792B">
        <w:rPr>
          <w:rFonts w:ascii="Arial" w:hAnsi="Arial" w:cs="Arial"/>
          <w:sz w:val="20"/>
          <w:szCs w:val="20"/>
        </w:rPr>
        <w:t xml:space="preserve"> activities are mainly undertaken in the middle to upper belt in four states - Kano, Kaduna, Niger and Benue. Promotion of rhizobia linked to potential production and delivery of IITA</w:t>
      </w:r>
      <w:r>
        <w:rPr>
          <w:rFonts w:ascii="Arial" w:hAnsi="Arial" w:cs="Arial"/>
          <w:sz w:val="20"/>
          <w:szCs w:val="20"/>
        </w:rPr>
        <w:t>’</w:t>
      </w:r>
      <w:r w:rsidRPr="0002792B">
        <w:rPr>
          <w:rFonts w:ascii="Arial" w:hAnsi="Arial" w:cs="Arial"/>
          <w:sz w:val="20"/>
          <w:szCs w:val="20"/>
        </w:rPr>
        <w:t xml:space="preserve">s NODUMAX and other brands through </w:t>
      </w:r>
      <w:proofErr w:type="spellStart"/>
      <w:r w:rsidRPr="0002792B">
        <w:rPr>
          <w:rFonts w:ascii="Arial" w:hAnsi="Arial" w:cs="Arial"/>
          <w:sz w:val="20"/>
          <w:szCs w:val="20"/>
        </w:rPr>
        <w:t>Notore</w:t>
      </w:r>
      <w:proofErr w:type="spellEnd"/>
      <w:r w:rsidR="00833C89">
        <w:rPr>
          <w:rFonts w:ascii="Arial" w:hAnsi="Arial" w:cs="Arial"/>
          <w:sz w:val="20"/>
          <w:szCs w:val="20"/>
        </w:rPr>
        <w:t xml:space="preserve"> </w:t>
      </w:r>
      <w:r w:rsidRPr="0002792B">
        <w:rPr>
          <w:rFonts w:ascii="Arial" w:hAnsi="Arial" w:cs="Arial"/>
          <w:sz w:val="20"/>
          <w:szCs w:val="20"/>
        </w:rPr>
        <w:t>village promoters. The technology will also be linked with promotion of legumes associated with P fertilizer alongside N2Africa's work on N2 fixation.</w:t>
      </w:r>
    </w:p>
    <w:p w:rsidR="002659E6" w:rsidRDefault="002659E6" w:rsidP="006D01EE">
      <w:pPr>
        <w:spacing w:after="120" w:line="240" w:lineRule="auto"/>
        <w:rPr>
          <w:rFonts w:ascii="Arial" w:hAnsi="Arial" w:cs="Arial"/>
          <w:sz w:val="20"/>
          <w:szCs w:val="20"/>
        </w:rPr>
      </w:pPr>
      <w:r w:rsidRPr="0002792B">
        <w:rPr>
          <w:rFonts w:ascii="Arial" w:hAnsi="Arial" w:cs="Arial"/>
          <w:sz w:val="20"/>
          <w:szCs w:val="20"/>
        </w:rPr>
        <w:t xml:space="preserve">Note: Kano and Kaduna are currently on the Foreign and Commonwealth Office </w:t>
      </w:r>
      <w:r>
        <w:rPr>
          <w:rFonts w:ascii="Arial" w:hAnsi="Arial" w:cs="Arial"/>
          <w:sz w:val="20"/>
          <w:szCs w:val="20"/>
        </w:rPr>
        <w:t>‘</w:t>
      </w:r>
      <w:r w:rsidRPr="0002792B">
        <w:rPr>
          <w:rFonts w:ascii="Arial" w:hAnsi="Arial" w:cs="Arial"/>
          <w:sz w:val="20"/>
          <w:szCs w:val="20"/>
        </w:rPr>
        <w:t>all but essential travel</w:t>
      </w:r>
      <w:r>
        <w:rPr>
          <w:rFonts w:ascii="Arial" w:hAnsi="Arial" w:cs="Arial"/>
          <w:sz w:val="20"/>
          <w:szCs w:val="20"/>
        </w:rPr>
        <w:t>’</w:t>
      </w:r>
      <w:r w:rsidRPr="0002792B">
        <w:rPr>
          <w:rFonts w:ascii="Arial" w:hAnsi="Arial" w:cs="Arial"/>
          <w:sz w:val="20"/>
          <w:szCs w:val="20"/>
        </w:rPr>
        <w:t xml:space="preserve"> list, and so are currently outside of the scope of our plans (see risk assessment section). </w:t>
      </w:r>
      <w:r w:rsidR="00F039CC">
        <w:rPr>
          <w:rFonts w:ascii="Arial" w:hAnsi="Arial" w:cs="Arial"/>
          <w:sz w:val="20"/>
          <w:szCs w:val="20"/>
        </w:rPr>
        <w:tab/>
        <w:t>§1</w:t>
      </w:r>
    </w:p>
    <w:p w:rsidR="002125E1" w:rsidRPr="002125E1" w:rsidRDefault="002125E1" w:rsidP="00833C89">
      <w:pPr>
        <w:spacing w:before="240" w:after="120" w:line="240" w:lineRule="auto"/>
        <w:rPr>
          <w:rFonts w:ascii="Arial" w:hAnsi="Arial" w:cs="Arial"/>
          <w:b/>
          <w:sz w:val="20"/>
          <w:szCs w:val="20"/>
        </w:rPr>
      </w:pPr>
      <w:r w:rsidRPr="002125E1">
        <w:rPr>
          <w:rFonts w:ascii="Arial" w:hAnsi="Arial" w:cs="Arial"/>
          <w:b/>
          <w:sz w:val="20"/>
          <w:szCs w:val="20"/>
        </w:rPr>
        <w:t xml:space="preserve">USAID-MARKETS II </w:t>
      </w:r>
      <w:proofErr w:type="spellStart"/>
      <w:r w:rsidRPr="002125E1">
        <w:rPr>
          <w:rFonts w:ascii="Arial" w:hAnsi="Arial" w:cs="Arial"/>
          <w:b/>
          <w:sz w:val="20"/>
          <w:szCs w:val="20"/>
        </w:rPr>
        <w:t>programme</w:t>
      </w:r>
      <w:proofErr w:type="spellEnd"/>
    </w:p>
    <w:p w:rsidR="00F039CC" w:rsidRDefault="00F039CC" w:rsidP="006D01EE">
      <w:pPr>
        <w:spacing w:after="120" w:line="240" w:lineRule="auto"/>
        <w:rPr>
          <w:rFonts w:ascii="Arial" w:hAnsi="Arial" w:cs="Arial"/>
          <w:sz w:val="20"/>
          <w:szCs w:val="20"/>
        </w:rPr>
      </w:pPr>
      <w:r w:rsidRPr="00F039CC">
        <w:rPr>
          <w:rFonts w:ascii="Arial" w:hAnsi="Arial" w:cs="Arial"/>
          <w:sz w:val="20"/>
          <w:szCs w:val="20"/>
        </w:rPr>
        <w:t xml:space="preserve">The USAID-MARKETS II </w:t>
      </w:r>
      <w:proofErr w:type="spellStart"/>
      <w:r w:rsidRPr="00F039CC">
        <w:rPr>
          <w:rFonts w:ascii="Arial" w:hAnsi="Arial" w:cs="Arial"/>
          <w:sz w:val="20"/>
          <w:szCs w:val="20"/>
        </w:rPr>
        <w:t>programme</w:t>
      </w:r>
      <w:proofErr w:type="spellEnd"/>
      <w:r w:rsidRPr="00F039CC">
        <w:rPr>
          <w:rFonts w:ascii="Arial" w:hAnsi="Arial" w:cs="Arial"/>
          <w:sz w:val="20"/>
          <w:szCs w:val="20"/>
        </w:rPr>
        <w:t xml:space="preserve">, implemented in Nigeria by </w:t>
      </w:r>
      <w:proofErr w:type="spellStart"/>
      <w:r w:rsidRPr="00F039CC">
        <w:rPr>
          <w:rFonts w:ascii="Arial" w:hAnsi="Arial" w:cs="Arial"/>
          <w:sz w:val="20"/>
          <w:szCs w:val="20"/>
        </w:rPr>
        <w:t>Chemonics</w:t>
      </w:r>
      <w:proofErr w:type="spellEnd"/>
      <w:r w:rsidRPr="00F039CC">
        <w:rPr>
          <w:rFonts w:ascii="Arial" w:hAnsi="Arial" w:cs="Arial"/>
          <w:sz w:val="20"/>
          <w:szCs w:val="20"/>
        </w:rPr>
        <w:t>, engages subcontractors to provide training and management services to a number of farmers for a particular crop in specified project locations of a state. Arrangements are made by the core team of MARKETS II to acquire the nee</w:t>
      </w:r>
      <w:r w:rsidR="002125E1">
        <w:rPr>
          <w:rFonts w:ascii="Arial" w:hAnsi="Arial" w:cs="Arial"/>
          <w:sz w:val="20"/>
          <w:szCs w:val="20"/>
        </w:rPr>
        <w:t>ded number of state-employed extension agents</w:t>
      </w:r>
      <w:r w:rsidRPr="00F039CC">
        <w:rPr>
          <w:rFonts w:ascii="Arial" w:hAnsi="Arial" w:cs="Arial"/>
          <w:sz w:val="20"/>
          <w:szCs w:val="20"/>
        </w:rPr>
        <w:t xml:space="preserve"> on a term assignment.  </w:t>
      </w:r>
      <w:r w:rsidR="002125E1">
        <w:rPr>
          <w:rFonts w:ascii="Arial" w:hAnsi="Arial" w:cs="Arial"/>
          <w:sz w:val="20"/>
          <w:szCs w:val="20"/>
        </w:rPr>
        <w:t>They</w:t>
      </w:r>
      <w:r w:rsidRPr="00F039CC">
        <w:rPr>
          <w:rFonts w:ascii="Arial" w:hAnsi="Arial" w:cs="Arial"/>
          <w:sz w:val="20"/>
          <w:szCs w:val="20"/>
        </w:rPr>
        <w:t xml:space="preserve"> are then given orientation and kitted to perform specified tasks under the sponsored project, working with the USAID-MARKETS II subcontractor until the intervention ends, after which the extension agents would be disengaged and expected to return to her/his regular employment with the state ADP</w:t>
      </w:r>
      <w:r w:rsidR="00833C89">
        <w:rPr>
          <w:rFonts w:ascii="Arial" w:hAnsi="Arial" w:cs="Arial"/>
          <w:sz w:val="20"/>
          <w:szCs w:val="20"/>
        </w:rPr>
        <w:t>.</w:t>
      </w:r>
    </w:p>
    <w:p w:rsidR="002659E6" w:rsidRPr="00B73FA9" w:rsidRDefault="002659E6" w:rsidP="00833C89">
      <w:pPr>
        <w:spacing w:before="240" w:after="0" w:line="240" w:lineRule="auto"/>
        <w:rPr>
          <w:rFonts w:ascii="Arial" w:hAnsi="Arial" w:cs="Arial"/>
          <w:b/>
          <w:color w:val="92D050"/>
          <w:sz w:val="24"/>
          <w:szCs w:val="24"/>
        </w:rPr>
      </w:pPr>
      <w:r w:rsidRPr="00B73FA9">
        <w:rPr>
          <w:rFonts w:ascii="Arial" w:hAnsi="Arial" w:cs="Arial"/>
          <w:b/>
          <w:color w:val="92D050"/>
          <w:sz w:val="24"/>
          <w:szCs w:val="24"/>
        </w:rPr>
        <w:t>Potential knowledge partners</w:t>
      </w:r>
    </w:p>
    <w:p w:rsidR="002659E6" w:rsidRPr="0002792B" w:rsidRDefault="002659E6" w:rsidP="006D01EE">
      <w:pPr>
        <w:spacing w:after="120" w:line="240" w:lineRule="auto"/>
        <w:rPr>
          <w:rFonts w:ascii="Arial" w:hAnsi="Arial" w:cs="Arial"/>
          <w:sz w:val="20"/>
          <w:szCs w:val="20"/>
        </w:rPr>
      </w:pPr>
      <w:r>
        <w:rPr>
          <w:rFonts w:ascii="Arial" w:hAnsi="Arial" w:cs="Arial"/>
          <w:sz w:val="20"/>
          <w:szCs w:val="20"/>
        </w:rPr>
        <w:t>T</w:t>
      </w:r>
      <w:r w:rsidRPr="0002792B">
        <w:rPr>
          <w:rFonts w:ascii="Arial" w:hAnsi="Arial" w:cs="Arial"/>
          <w:sz w:val="20"/>
          <w:szCs w:val="20"/>
        </w:rPr>
        <w:t>hese are partners that do not necessary have access to funds for the dissemination of materials to smallholder farmers</w:t>
      </w:r>
      <w:r>
        <w:rPr>
          <w:rFonts w:ascii="Arial" w:hAnsi="Arial" w:cs="Arial"/>
          <w:sz w:val="20"/>
          <w:szCs w:val="20"/>
        </w:rPr>
        <w:t xml:space="preserve">, </w:t>
      </w:r>
      <w:r w:rsidRPr="0002792B">
        <w:rPr>
          <w:rFonts w:ascii="Arial" w:hAnsi="Arial" w:cs="Arial"/>
          <w:sz w:val="20"/>
          <w:szCs w:val="20"/>
        </w:rPr>
        <w:t xml:space="preserve">but that have access to valuable intelligence that will support the decision making processes in planning and delivering a campaign. </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N2Africa</w:t>
      </w:r>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 xml:space="preserve">Funder of </w:t>
      </w:r>
      <w:proofErr w:type="spellStart"/>
      <w:r w:rsidRPr="0002792B">
        <w:rPr>
          <w:rFonts w:ascii="Arial" w:hAnsi="Arial" w:cs="Arial"/>
          <w:b/>
          <w:sz w:val="20"/>
          <w:szCs w:val="20"/>
        </w:rPr>
        <w:t>program</w:t>
      </w:r>
      <w:proofErr w:type="gramStart"/>
      <w:r w:rsidRPr="0002792B">
        <w:rPr>
          <w:rFonts w:ascii="Arial" w:hAnsi="Arial" w:cs="Arial"/>
          <w:b/>
          <w:sz w:val="20"/>
          <w:szCs w:val="20"/>
        </w:rPr>
        <w:t>:</w:t>
      </w:r>
      <w:r>
        <w:rPr>
          <w:rFonts w:ascii="Arial" w:hAnsi="Arial" w:cs="Arial"/>
          <w:sz w:val="20"/>
          <w:szCs w:val="20"/>
        </w:rPr>
        <w:t>B</w:t>
      </w:r>
      <w:proofErr w:type="gramEnd"/>
      <w:r>
        <w:rPr>
          <w:rFonts w:ascii="Arial" w:hAnsi="Arial" w:cs="Arial"/>
          <w:sz w:val="20"/>
          <w:szCs w:val="20"/>
        </w:rPr>
        <w:t>&amp;</w:t>
      </w:r>
      <w:r w:rsidRPr="0002792B">
        <w:rPr>
          <w:rFonts w:ascii="Arial" w:hAnsi="Arial" w:cs="Arial"/>
          <w:sz w:val="20"/>
          <w:szCs w:val="20"/>
        </w:rPr>
        <w:t>M</w:t>
      </w:r>
      <w:r>
        <w:rPr>
          <w:rFonts w:ascii="Arial" w:hAnsi="Arial" w:cs="Arial"/>
          <w:sz w:val="20"/>
          <w:szCs w:val="20"/>
        </w:rPr>
        <w:t>G</w:t>
      </w:r>
      <w:r w:rsidRPr="0002792B">
        <w:rPr>
          <w:rFonts w:ascii="Arial" w:hAnsi="Arial" w:cs="Arial"/>
          <w:sz w:val="20"/>
          <w:szCs w:val="20"/>
        </w:rPr>
        <w:t>F</w:t>
      </w:r>
      <w:proofErr w:type="spellEnd"/>
    </w:p>
    <w:p w:rsidR="002659E6" w:rsidRPr="0002792B" w:rsidRDefault="002659E6" w:rsidP="006D01EE">
      <w:pPr>
        <w:spacing w:after="120" w:line="240" w:lineRule="auto"/>
        <w:rPr>
          <w:rFonts w:ascii="Arial" w:hAnsi="Arial" w:cs="Arial"/>
          <w:b/>
          <w:sz w:val="20"/>
          <w:szCs w:val="20"/>
        </w:rPr>
      </w:pPr>
      <w:r w:rsidRPr="0002792B">
        <w:rPr>
          <w:rFonts w:ascii="Arial" w:hAnsi="Arial" w:cs="Arial"/>
          <w:b/>
          <w:sz w:val="20"/>
          <w:szCs w:val="20"/>
        </w:rPr>
        <w:t>Crop/ technology:</w:t>
      </w:r>
      <w:r w:rsidRPr="0002792B">
        <w:rPr>
          <w:rFonts w:ascii="Arial" w:hAnsi="Arial" w:cs="Arial"/>
          <w:sz w:val="20"/>
          <w:szCs w:val="20"/>
        </w:rPr>
        <w:t xml:space="preserve"> Promotion of legume productivity improvement with soil fertility management principles</w:t>
      </w:r>
    </w:p>
    <w:p w:rsidR="002659E6" w:rsidRDefault="002659E6" w:rsidP="006D01EE">
      <w:pPr>
        <w:spacing w:after="120" w:line="240" w:lineRule="auto"/>
        <w:rPr>
          <w:rFonts w:ascii="Arial" w:hAnsi="Arial" w:cs="Arial"/>
          <w:sz w:val="20"/>
          <w:szCs w:val="20"/>
        </w:rPr>
      </w:pPr>
      <w:r w:rsidRPr="0002792B">
        <w:rPr>
          <w:rFonts w:ascii="Arial" w:hAnsi="Arial" w:cs="Arial"/>
          <w:b/>
          <w:sz w:val="20"/>
          <w:szCs w:val="20"/>
        </w:rPr>
        <w:t>Project duration:</w:t>
      </w:r>
      <w:r w:rsidRPr="0002792B">
        <w:rPr>
          <w:rFonts w:ascii="Arial" w:hAnsi="Arial" w:cs="Arial"/>
          <w:sz w:val="20"/>
          <w:szCs w:val="20"/>
        </w:rPr>
        <w:t xml:space="preserve"> to 2018 </w:t>
      </w:r>
    </w:p>
    <w:p w:rsidR="006D01EE" w:rsidRPr="0002792B" w:rsidRDefault="006D01EE" w:rsidP="006D01EE">
      <w:pPr>
        <w:spacing w:after="120" w:line="240" w:lineRule="auto"/>
        <w:rPr>
          <w:rFonts w:ascii="Arial" w:hAnsi="Arial" w:cs="Arial"/>
          <w:sz w:val="20"/>
          <w:szCs w:val="20"/>
        </w:rPr>
      </w:pPr>
      <w:r>
        <w:rPr>
          <w:noProof/>
        </w:rPr>
        <w:lastRenderedPageBreak/>
        <w:drawing>
          <wp:inline distT="0" distB="0" distL="0" distR="0">
            <wp:extent cx="3886200" cy="277732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Africa_nigeria_AEZ_layout_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531" cy="2777564"/>
                    </a:xfrm>
                    <a:prstGeom prst="rect">
                      <a:avLst/>
                    </a:prstGeom>
                  </pic:spPr>
                </pic:pic>
              </a:graphicData>
            </a:graphic>
          </wp:inline>
        </w:drawing>
      </w:r>
    </w:p>
    <w:p w:rsidR="002659E6" w:rsidRPr="0002792B" w:rsidRDefault="002659E6" w:rsidP="006D01EE">
      <w:pPr>
        <w:spacing w:after="120" w:line="240" w:lineRule="auto"/>
        <w:rPr>
          <w:rFonts w:ascii="Arial" w:hAnsi="Arial" w:cs="Arial"/>
          <w:sz w:val="20"/>
          <w:szCs w:val="20"/>
        </w:rPr>
      </w:pPr>
      <w:r w:rsidRPr="0002792B">
        <w:rPr>
          <w:rFonts w:ascii="Arial" w:hAnsi="Arial" w:cs="Arial"/>
          <w:bCs/>
          <w:sz w:val="20"/>
          <w:szCs w:val="20"/>
        </w:rPr>
        <w:t>N2AFRICA</w:t>
      </w:r>
      <w:r w:rsidRPr="0002792B">
        <w:rPr>
          <w:rFonts w:ascii="Arial" w:hAnsi="Arial" w:cs="Arial"/>
          <w:sz w:val="20"/>
          <w:szCs w:val="20"/>
        </w:rPr>
        <w:t xml:space="preserve"> is a large scale, science-based research-in-development project focused on putting nitrogen fixation to work for smallholder farmers growing legume crops in Africa. </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N2Africa’s vision is to build sustainable, long-term partnerships to enable African smallholder farmers to benefit from symbiotic N2-fixation by grain legumes through effective production technologies, including inoculants and fertilizers.  </w:t>
      </w:r>
    </w:p>
    <w:p w:rsidR="002659E6" w:rsidRPr="0002792B" w:rsidRDefault="002659E6" w:rsidP="006D01EE">
      <w:pPr>
        <w:spacing w:after="120" w:line="240" w:lineRule="auto"/>
        <w:rPr>
          <w:rFonts w:ascii="Arial" w:hAnsi="Arial" w:cs="Arial"/>
          <w:sz w:val="20"/>
          <w:szCs w:val="20"/>
        </w:rPr>
      </w:pPr>
      <w:r w:rsidRPr="0002792B">
        <w:rPr>
          <w:rFonts w:ascii="Arial" w:hAnsi="Arial" w:cs="Arial"/>
          <w:sz w:val="20"/>
          <w:szCs w:val="20"/>
        </w:rPr>
        <w:t xml:space="preserve">N2Africa and ASHC share five priority countries. N2Africa is also active in DR Congo, Rwanda, Kenya, Mozambique, Malawi and Zimbabwe. Key implementing partners in the project include </w:t>
      </w:r>
      <w:proofErr w:type="spellStart"/>
      <w:r w:rsidRPr="0002792B">
        <w:rPr>
          <w:rFonts w:ascii="Arial" w:hAnsi="Arial" w:cs="Arial"/>
          <w:sz w:val="20"/>
          <w:szCs w:val="20"/>
        </w:rPr>
        <w:t>Wageningen</w:t>
      </w:r>
      <w:proofErr w:type="spellEnd"/>
      <w:r w:rsidRPr="0002792B">
        <w:rPr>
          <w:rFonts w:ascii="Arial" w:hAnsi="Arial" w:cs="Arial"/>
          <w:sz w:val="20"/>
          <w:szCs w:val="20"/>
        </w:rPr>
        <w:t xml:space="preserve"> University, International Institute of Tropical Agriculture (</w:t>
      </w:r>
      <w:hyperlink r:id="rId10" w:history="1">
        <w:r w:rsidRPr="0002792B">
          <w:rPr>
            <w:rFonts w:ascii="Arial" w:hAnsi="Arial" w:cs="Arial"/>
            <w:sz w:val="20"/>
            <w:szCs w:val="20"/>
          </w:rPr>
          <w:t>IITA</w:t>
        </w:r>
      </w:hyperlink>
      <w:r w:rsidRPr="0002792B">
        <w:rPr>
          <w:rFonts w:ascii="Arial" w:hAnsi="Arial" w:cs="Arial"/>
          <w:sz w:val="20"/>
          <w:szCs w:val="20"/>
        </w:rPr>
        <w:t>) and International Livestock Research Institute (</w:t>
      </w:r>
      <w:hyperlink r:id="rId11" w:history="1">
        <w:r w:rsidRPr="0002792B">
          <w:rPr>
            <w:rFonts w:ascii="Arial" w:hAnsi="Arial" w:cs="Arial"/>
            <w:sz w:val="20"/>
            <w:szCs w:val="20"/>
          </w:rPr>
          <w:t>ILRI</w:t>
        </w:r>
      </w:hyperlink>
      <w:r w:rsidRPr="0002792B">
        <w:rPr>
          <w:rFonts w:ascii="Arial" w:hAnsi="Arial" w:cs="Arial"/>
          <w:sz w:val="20"/>
          <w:szCs w:val="20"/>
        </w:rPr>
        <w:t>).</w:t>
      </w:r>
    </w:p>
    <w:p w:rsidR="002659E6" w:rsidRPr="0002792B" w:rsidRDefault="002659E6" w:rsidP="006D01EE">
      <w:pPr>
        <w:spacing w:after="120" w:line="240" w:lineRule="auto"/>
        <w:rPr>
          <w:rFonts w:ascii="Arial" w:eastAsia="Times New Roman" w:hAnsi="Arial" w:cs="Arial"/>
          <w:sz w:val="20"/>
          <w:szCs w:val="20"/>
          <w:lang w:val="en-GB"/>
        </w:rPr>
      </w:pPr>
      <w:r w:rsidRPr="0002792B">
        <w:rPr>
          <w:rFonts w:ascii="Arial" w:eastAsia="Times New Roman" w:hAnsi="Arial" w:cs="Arial"/>
          <w:color w:val="000000"/>
          <w:sz w:val="20"/>
          <w:szCs w:val="20"/>
          <w:shd w:val="clear" w:color="auto" w:fill="FFFFFF"/>
          <w:lang w:val="en-GB"/>
        </w:rPr>
        <w:t>The </w:t>
      </w:r>
      <w:r w:rsidRPr="0002792B">
        <w:rPr>
          <w:rFonts w:ascii="Arial" w:eastAsia="Times New Roman" w:hAnsi="Arial" w:cs="Arial"/>
          <w:b/>
          <w:bCs/>
          <w:color w:val="000000"/>
          <w:sz w:val="20"/>
          <w:szCs w:val="20"/>
          <w:shd w:val="clear" w:color="auto" w:fill="FFFFFF"/>
          <w:lang w:val="en-GB"/>
        </w:rPr>
        <w:t>International Institute of Tropical Agriculture</w:t>
      </w:r>
      <w:r w:rsidRPr="0002792B">
        <w:rPr>
          <w:rFonts w:ascii="Arial" w:eastAsia="Times New Roman" w:hAnsi="Arial" w:cs="Arial"/>
          <w:color w:val="000000"/>
          <w:sz w:val="20"/>
          <w:szCs w:val="20"/>
          <w:shd w:val="clear" w:color="auto" w:fill="FFFFFF"/>
          <w:lang w:val="en-GB"/>
        </w:rPr>
        <w:t> (IITA) is one of the world's leading research partners in finding solutions for hunger, malnutrition, and poverty. Their award-winning research for development (R4D) addresses the development needs of tropical countries. They work with partners to enhance crop quality and productivity, reduce producer and consumer risks, and generate wealth from agriculture.</w:t>
      </w:r>
    </w:p>
    <w:p w:rsidR="00401652" w:rsidRDefault="00401652" w:rsidP="00401652">
      <w:pPr>
        <w:spacing w:after="0" w:line="240" w:lineRule="auto"/>
        <w:rPr>
          <w:rFonts w:ascii="Arial" w:hAnsi="Arial" w:cs="Arial"/>
          <w:b/>
          <w:color w:val="92D050"/>
          <w:sz w:val="24"/>
          <w:szCs w:val="24"/>
        </w:rPr>
      </w:pPr>
    </w:p>
    <w:p w:rsidR="00401652" w:rsidRPr="00E624F5" w:rsidRDefault="00401652" w:rsidP="00401652">
      <w:pPr>
        <w:spacing w:after="0" w:line="240" w:lineRule="auto"/>
        <w:rPr>
          <w:rFonts w:ascii="Arial" w:hAnsi="Arial" w:cs="Arial"/>
          <w:b/>
          <w:color w:val="92D050"/>
          <w:sz w:val="24"/>
          <w:szCs w:val="24"/>
        </w:rPr>
      </w:pPr>
      <w:r>
        <w:rPr>
          <w:rFonts w:ascii="Arial" w:hAnsi="Arial" w:cs="Arial"/>
          <w:b/>
          <w:color w:val="92D050"/>
          <w:sz w:val="24"/>
          <w:szCs w:val="24"/>
        </w:rPr>
        <w:t xml:space="preserve">Other NGOs and initiatives active in </w:t>
      </w:r>
      <w:r w:rsidR="00537902">
        <w:rPr>
          <w:rFonts w:ascii="Arial" w:hAnsi="Arial" w:cs="Arial"/>
          <w:b/>
          <w:color w:val="92D050"/>
          <w:sz w:val="24"/>
          <w:szCs w:val="24"/>
        </w:rPr>
        <w:t>Nigeria</w:t>
      </w:r>
      <w:r>
        <w:rPr>
          <w:rFonts w:ascii="Arial" w:hAnsi="Arial" w:cs="Arial"/>
          <w:b/>
          <w:color w:val="92D050"/>
          <w:sz w:val="24"/>
          <w:szCs w:val="24"/>
        </w:rPr>
        <w:t xml:space="preserve"> in related areas </w:t>
      </w:r>
    </w:p>
    <w:p w:rsidR="00401652" w:rsidRDefault="00401652" w:rsidP="006D01EE">
      <w:pPr>
        <w:spacing w:after="0" w:line="240" w:lineRule="auto"/>
        <w:rPr>
          <w:rFonts w:ascii="Arial" w:hAnsi="Arial" w:cs="Arial"/>
          <w:b/>
          <w:color w:val="92D050"/>
          <w:sz w:val="24"/>
          <w:szCs w:val="24"/>
        </w:rPr>
      </w:pPr>
    </w:p>
    <w:p w:rsidR="00E47294" w:rsidRPr="00E47294" w:rsidRDefault="00E47294" w:rsidP="00E47294">
      <w:pPr>
        <w:pStyle w:val="ListParagraph"/>
        <w:spacing w:after="0" w:line="240" w:lineRule="auto"/>
        <w:ind w:left="0"/>
        <w:rPr>
          <w:rFonts w:ascii="Arial" w:hAnsi="Arial" w:cs="Arial"/>
          <w:b/>
          <w:sz w:val="20"/>
          <w:szCs w:val="20"/>
        </w:rPr>
      </w:pPr>
      <w:proofErr w:type="gramStart"/>
      <w:r w:rsidRPr="00E47294">
        <w:rPr>
          <w:rFonts w:ascii="Arial" w:hAnsi="Arial" w:cs="Arial"/>
          <w:b/>
          <w:sz w:val="20"/>
          <w:szCs w:val="20"/>
        </w:rPr>
        <w:t>Farmers</w:t>
      </w:r>
      <w:proofErr w:type="gramEnd"/>
      <w:r w:rsidR="00833C89">
        <w:rPr>
          <w:rFonts w:ascii="Arial" w:hAnsi="Arial" w:cs="Arial"/>
          <w:b/>
          <w:sz w:val="20"/>
          <w:szCs w:val="20"/>
        </w:rPr>
        <w:t xml:space="preserve"> </w:t>
      </w:r>
      <w:proofErr w:type="spellStart"/>
      <w:r w:rsidRPr="00E47294">
        <w:rPr>
          <w:rFonts w:ascii="Arial" w:hAnsi="Arial" w:cs="Arial"/>
          <w:b/>
          <w:sz w:val="20"/>
          <w:szCs w:val="20"/>
        </w:rPr>
        <w:t>organisations</w:t>
      </w:r>
      <w:proofErr w:type="spellEnd"/>
    </w:p>
    <w:p w:rsidR="00E47294" w:rsidRPr="00F039CC" w:rsidRDefault="00E47294" w:rsidP="00143070">
      <w:pPr>
        <w:pStyle w:val="ListParagraph"/>
        <w:spacing w:after="120" w:line="240" w:lineRule="auto"/>
        <w:ind w:left="0"/>
        <w:contextualSpacing w:val="0"/>
        <w:rPr>
          <w:rFonts w:ascii="Arial" w:hAnsi="Arial" w:cs="Arial"/>
          <w:sz w:val="20"/>
          <w:szCs w:val="20"/>
        </w:rPr>
      </w:pPr>
      <w:r w:rsidRPr="00F039CC">
        <w:rPr>
          <w:rFonts w:ascii="Arial" w:hAnsi="Arial" w:cs="Arial"/>
          <w:sz w:val="20"/>
          <w:szCs w:val="20"/>
        </w:rPr>
        <w:t xml:space="preserve">Not all farmers in Nigeria belong to farmer </w:t>
      </w:r>
      <w:proofErr w:type="gramStart"/>
      <w:r w:rsidRPr="00F039CC">
        <w:rPr>
          <w:rFonts w:ascii="Arial" w:hAnsi="Arial" w:cs="Arial"/>
          <w:sz w:val="20"/>
          <w:szCs w:val="20"/>
        </w:rPr>
        <w:t>gro</w:t>
      </w:r>
      <w:r w:rsidR="00847510">
        <w:rPr>
          <w:rFonts w:ascii="Arial" w:hAnsi="Arial" w:cs="Arial"/>
          <w:sz w:val="20"/>
          <w:szCs w:val="20"/>
        </w:rPr>
        <w:t>ups,</w:t>
      </w:r>
      <w:proofErr w:type="gramEnd"/>
      <w:r w:rsidR="00F404F7">
        <w:rPr>
          <w:rFonts w:ascii="Arial" w:hAnsi="Arial" w:cs="Arial"/>
          <w:sz w:val="20"/>
          <w:szCs w:val="20"/>
        </w:rPr>
        <w:t xml:space="preserve"> h</w:t>
      </w:r>
      <w:r w:rsidRPr="00F039CC">
        <w:rPr>
          <w:rFonts w:ascii="Arial" w:hAnsi="Arial" w:cs="Arial"/>
          <w:sz w:val="20"/>
          <w:szCs w:val="20"/>
        </w:rPr>
        <w:t xml:space="preserve">owever, there is the understanding that most of them are part of some form of a social group. </w:t>
      </w:r>
      <w:r w:rsidR="00847510">
        <w:rPr>
          <w:rFonts w:ascii="Arial" w:hAnsi="Arial" w:cs="Arial"/>
          <w:sz w:val="20"/>
          <w:szCs w:val="20"/>
        </w:rPr>
        <w:t>I</w:t>
      </w:r>
      <w:r w:rsidRPr="00F039CC">
        <w:rPr>
          <w:rFonts w:ascii="Arial" w:hAnsi="Arial" w:cs="Arial"/>
          <w:sz w:val="20"/>
          <w:szCs w:val="20"/>
        </w:rPr>
        <w:t xml:space="preserve">n rural societies where age-grade structures are prevalent, everybody of the same age grade </w:t>
      </w:r>
      <w:r w:rsidR="00847510">
        <w:rPr>
          <w:rFonts w:ascii="Arial" w:hAnsi="Arial" w:cs="Arial"/>
          <w:sz w:val="20"/>
          <w:szCs w:val="20"/>
        </w:rPr>
        <w:t xml:space="preserve">would belong to one group. </w:t>
      </w:r>
      <w:r w:rsidR="00F404F7">
        <w:rPr>
          <w:rFonts w:ascii="Arial" w:hAnsi="Arial" w:cs="Arial"/>
          <w:sz w:val="20"/>
          <w:szCs w:val="20"/>
        </w:rPr>
        <w:t>Often all</w:t>
      </w:r>
      <w:r w:rsidRPr="00F039CC">
        <w:rPr>
          <w:rFonts w:ascii="Arial" w:hAnsi="Arial" w:cs="Arial"/>
          <w:sz w:val="20"/>
          <w:szCs w:val="20"/>
        </w:rPr>
        <w:t xml:space="preserve"> members</w:t>
      </w:r>
      <w:r w:rsidR="00F404F7">
        <w:rPr>
          <w:rFonts w:ascii="Arial" w:hAnsi="Arial" w:cs="Arial"/>
          <w:sz w:val="20"/>
          <w:szCs w:val="20"/>
        </w:rPr>
        <w:t xml:space="preserve"> of these groups</w:t>
      </w:r>
      <w:r w:rsidRPr="00F039CC">
        <w:rPr>
          <w:rFonts w:ascii="Arial" w:hAnsi="Arial" w:cs="Arial"/>
          <w:sz w:val="20"/>
          <w:szCs w:val="20"/>
        </w:rPr>
        <w:t xml:space="preserve"> are smallholder far</w:t>
      </w:r>
      <w:r w:rsidR="00F404F7">
        <w:rPr>
          <w:rFonts w:ascii="Arial" w:hAnsi="Arial" w:cs="Arial"/>
          <w:sz w:val="20"/>
          <w:szCs w:val="20"/>
        </w:rPr>
        <w:t>mers. They can be a useful way of targeting farmers.</w:t>
      </w:r>
    </w:p>
    <w:p w:rsidR="00E47294" w:rsidRPr="00F039CC" w:rsidRDefault="00E47294" w:rsidP="00143070">
      <w:pPr>
        <w:pStyle w:val="ListParagraph"/>
        <w:spacing w:after="120" w:line="240" w:lineRule="auto"/>
        <w:ind w:left="0"/>
        <w:contextualSpacing w:val="0"/>
        <w:rPr>
          <w:rFonts w:ascii="Arial" w:hAnsi="Arial" w:cs="Arial"/>
          <w:sz w:val="20"/>
          <w:szCs w:val="20"/>
        </w:rPr>
      </w:pPr>
      <w:r w:rsidRPr="00F039CC">
        <w:rPr>
          <w:rFonts w:ascii="Arial" w:hAnsi="Arial" w:cs="Arial"/>
          <w:sz w:val="20"/>
          <w:szCs w:val="20"/>
        </w:rPr>
        <w:t>Any person can legally incor</w:t>
      </w:r>
      <w:r w:rsidR="00847510">
        <w:rPr>
          <w:rFonts w:ascii="Arial" w:hAnsi="Arial" w:cs="Arial"/>
          <w:sz w:val="20"/>
          <w:szCs w:val="20"/>
        </w:rPr>
        <w:t>porate an umbrella association or apex body</w:t>
      </w:r>
      <w:r w:rsidRPr="00F039CC">
        <w:rPr>
          <w:rFonts w:ascii="Arial" w:hAnsi="Arial" w:cs="Arial"/>
          <w:sz w:val="20"/>
          <w:szCs w:val="20"/>
        </w:rPr>
        <w:t xml:space="preserve"> in Nigeria, and this has led to the phenomenon of “gate-keeping” in development projects. Some “associations” may show, on paper, a wonderful structure and membership </w:t>
      </w:r>
      <w:r w:rsidR="00F404F7">
        <w:rPr>
          <w:rFonts w:ascii="Arial" w:hAnsi="Arial" w:cs="Arial"/>
          <w:sz w:val="20"/>
          <w:szCs w:val="20"/>
        </w:rPr>
        <w:t>is</w:t>
      </w:r>
      <w:r w:rsidRPr="00F039CC">
        <w:rPr>
          <w:rFonts w:ascii="Arial" w:hAnsi="Arial" w:cs="Arial"/>
          <w:sz w:val="20"/>
          <w:szCs w:val="20"/>
        </w:rPr>
        <w:t xml:space="preserve"> non-existent in reality.  </w:t>
      </w:r>
    </w:p>
    <w:p w:rsidR="00E47294" w:rsidRPr="00F039CC" w:rsidRDefault="00E47294" w:rsidP="00143070">
      <w:pPr>
        <w:pStyle w:val="ListParagraph"/>
        <w:spacing w:after="120" w:line="240" w:lineRule="auto"/>
        <w:ind w:left="0"/>
        <w:contextualSpacing w:val="0"/>
        <w:rPr>
          <w:rFonts w:ascii="Arial" w:hAnsi="Arial" w:cs="Arial"/>
          <w:sz w:val="20"/>
          <w:szCs w:val="20"/>
        </w:rPr>
      </w:pPr>
      <w:r w:rsidRPr="00F039CC">
        <w:rPr>
          <w:rFonts w:ascii="Arial" w:hAnsi="Arial" w:cs="Arial"/>
          <w:sz w:val="20"/>
          <w:szCs w:val="20"/>
        </w:rPr>
        <w:t xml:space="preserve">On a positive note, it is also easier and smarter for a development donor or technical assistance project to orchestrate its own structures of beneficiaries from the bottom up, and if desired, to eventually build a customized umbrella body under the project.  </w:t>
      </w:r>
    </w:p>
    <w:p w:rsidR="00E47294" w:rsidRPr="00F039CC" w:rsidRDefault="00E47294" w:rsidP="00143070">
      <w:pPr>
        <w:pStyle w:val="ListParagraph"/>
        <w:spacing w:after="120" w:line="240" w:lineRule="auto"/>
        <w:ind w:left="0"/>
        <w:rPr>
          <w:rFonts w:ascii="Arial" w:hAnsi="Arial" w:cs="Arial"/>
          <w:sz w:val="20"/>
          <w:szCs w:val="20"/>
        </w:rPr>
      </w:pPr>
      <w:r w:rsidRPr="00F039CC">
        <w:rPr>
          <w:rFonts w:ascii="Arial" w:hAnsi="Arial" w:cs="Arial"/>
          <w:sz w:val="20"/>
          <w:szCs w:val="20"/>
        </w:rPr>
        <w:t xml:space="preserve">The DFID-RIU innovation platform model was such as customized group, formed from the bottom up; </w:t>
      </w:r>
      <w:r w:rsidR="00143070">
        <w:rPr>
          <w:rFonts w:ascii="Arial" w:hAnsi="Arial" w:cs="Arial"/>
          <w:sz w:val="20"/>
          <w:szCs w:val="20"/>
        </w:rPr>
        <w:t xml:space="preserve">although the project is finished, </w:t>
      </w:r>
      <w:r w:rsidRPr="00F039CC">
        <w:rPr>
          <w:rFonts w:ascii="Arial" w:hAnsi="Arial" w:cs="Arial"/>
          <w:sz w:val="20"/>
          <w:szCs w:val="20"/>
        </w:rPr>
        <w:t>today on</w:t>
      </w:r>
      <w:r w:rsidR="00F404F7">
        <w:rPr>
          <w:rFonts w:ascii="Arial" w:hAnsi="Arial" w:cs="Arial"/>
          <w:sz w:val="20"/>
          <w:szCs w:val="20"/>
        </w:rPr>
        <w:t xml:space="preserve">e such group is the strongest innovation platform in the arena. ASHC could </w:t>
      </w:r>
      <w:r w:rsidRPr="00F039CC">
        <w:rPr>
          <w:rFonts w:ascii="Arial" w:hAnsi="Arial" w:cs="Arial"/>
          <w:sz w:val="20"/>
          <w:szCs w:val="20"/>
        </w:rPr>
        <w:t>integrate ISFM to the menu of activities already being carried out by an existing group, creating a win-win for a</w:t>
      </w:r>
      <w:r w:rsidR="00F404F7">
        <w:rPr>
          <w:rFonts w:ascii="Arial" w:hAnsi="Arial" w:cs="Arial"/>
          <w:sz w:val="20"/>
          <w:szCs w:val="20"/>
        </w:rPr>
        <w:t xml:space="preserve">ll the collaborating partners. </w:t>
      </w:r>
    </w:p>
    <w:p w:rsidR="00C701A7" w:rsidRPr="002F6880" w:rsidRDefault="00C701A7" w:rsidP="00143070">
      <w:pPr>
        <w:spacing w:after="120" w:line="240" w:lineRule="auto"/>
        <w:rPr>
          <w:rFonts w:ascii="Arial" w:hAnsi="Arial" w:cs="Arial"/>
          <w:sz w:val="20"/>
          <w:szCs w:val="20"/>
        </w:rPr>
      </w:pPr>
      <w:r w:rsidRPr="002F6880">
        <w:rPr>
          <w:rFonts w:ascii="Arial" w:hAnsi="Arial" w:cs="Arial"/>
          <w:sz w:val="20"/>
          <w:szCs w:val="20"/>
        </w:rPr>
        <w:lastRenderedPageBreak/>
        <w:t>T</w:t>
      </w:r>
      <w:r w:rsidR="0069286C" w:rsidRPr="002F6880">
        <w:rPr>
          <w:rFonts w:ascii="Arial" w:hAnsi="Arial" w:cs="Arial"/>
          <w:sz w:val="20"/>
          <w:szCs w:val="20"/>
        </w:rPr>
        <w:t>he apex farmers’ organization in Nigeria is the All Farmers Association of Nigeria (AFAN)</w:t>
      </w:r>
      <w:r w:rsidR="0069286C" w:rsidRPr="002F6880">
        <w:rPr>
          <w:rStyle w:val="FootnoteReference"/>
          <w:rFonts w:ascii="Arial" w:hAnsi="Arial" w:cs="Arial"/>
          <w:sz w:val="20"/>
          <w:szCs w:val="20"/>
        </w:rPr>
        <w:footnoteReference w:id="37"/>
      </w:r>
      <w:r w:rsidR="0069286C" w:rsidRPr="002F6880">
        <w:rPr>
          <w:rFonts w:ascii="Arial" w:hAnsi="Arial" w:cs="Arial"/>
          <w:sz w:val="20"/>
          <w:szCs w:val="20"/>
        </w:rPr>
        <w:t>. It claims to have 80 million members through all of its affiliated commodity associations (e.g. Maize Farmers Associa</w:t>
      </w:r>
      <w:r w:rsidRPr="002F6880">
        <w:rPr>
          <w:rFonts w:ascii="Arial" w:hAnsi="Arial" w:cs="Arial"/>
          <w:sz w:val="20"/>
          <w:szCs w:val="20"/>
        </w:rPr>
        <w:t xml:space="preserve">tion, Rice Farmers Association </w:t>
      </w:r>
      <w:r w:rsidR="0069286C" w:rsidRPr="002F6880">
        <w:rPr>
          <w:rFonts w:ascii="Arial" w:hAnsi="Arial" w:cs="Arial"/>
          <w:sz w:val="20"/>
          <w:szCs w:val="20"/>
        </w:rPr>
        <w:t xml:space="preserve">etc.). </w:t>
      </w:r>
    </w:p>
    <w:p w:rsidR="0069286C" w:rsidRPr="002F6880" w:rsidRDefault="00C701A7" w:rsidP="00143070">
      <w:pPr>
        <w:spacing w:after="120" w:line="240" w:lineRule="auto"/>
        <w:rPr>
          <w:rFonts w:ascii="Arial" w:hAnsi="Arial" w:cs="Arial"/>
          <w:sz w:val="20"/>
          <w:szCs w:val="20"/>
        </w:rPr>
      </w:pPr>
      <w:r w:rsidRPr="002F6880">
        <w:rPr>
          <w:rFonts w:ascii="Arial" w:hAnsi="Arial" w:cs="Arial"/>
          <w:sz w:val="20"/>
          <w:szCs w:val="20"/>
        </w:rPr>
        <w:t>AFAN</w:t>
      </w:r>
      <w:r w:rsidR="0069286C" w:rsidRPr="002F6880">
        <w:rPr>
          <w:rFonts w:ascii="Arial" w:hAnsi="Arial" w:cs="Arial"/>
          <w:sz w:val="20"/>
          <w:szCs w:val="20"/>
        </w:rPr>
        <w:t xml:space="preserve"> and its various affiliated commodity </w:t>
      </w:r>
      <w:proofErr w:type="gramStart"/>
      <w:r w:rsidR="0069286C" w:rsidRPr="002F6880">
        <w:rPr>
          <w:rFonts w:ascii="Arial" w:hAnsi="Arial" w:cs="Arial"/>
          <w:sz w:val="20"/>
          <w:szCs w:val="20"/>
        </w:rPr>
        <w:t>associations,</w:t>
      </w:r>
      <w:proofErr w:type="gramEnd"/>
      <w:r w:rsidR="0069286C" w:rsidRPr="002F6880">
        <w:rPr>
          <w:rFonts w:ascii="Arial" w:hAnsi="Arial" w:cs="Arial"/>
          <w:sz w:val="20"/>
          <w:szCs w:val="20"/>
        </w:rPr>
        <w:t xml:space="preserve"> are generally politicized</w:t>
      </w:r>
      <w:r w:rsidRPr="002F6880">
        <w:rPr>
          <w:rFonts w:ascii="Arial" w:hAnsi="Arial" w:cs="Arial"/>
          <w:sz w:val="20"/>
          <w:szCs w:val="20"/>
        </w:rPr>
        <w:t xml:space="preserve"> and can fragment</w:t>
      </w:r>
      <w:r w:rsidR="0069286C" w:rsidRPr="002F6880">
        <w:rPr>
          <w:rFonts w:ascii="Arial" w:hAnsi="Arial" w:cs="Arial"/>
          <w:sz w:val="20"/>
          <w:szCs w:val="20"/>
        </w:rPr>
        <w:t xml:space="preserve">. Consequently, in some state capitals, there are several associations for each commodity sector. </w:t>
      </w:r>
    </w:p>
    <w:p w:rsidR="0069286C" w:rsidRPr="002F6880" w:rsidRDefault="0069286C" w:rsidP="00143070">
      <w:pPr>
        <w:spacing w:after="120" w:line="240" w:lineRule="auto"/>
        <w:rPr>
          <w:rFonts w:ascii="Arial" w:hAnsi="Arial" w:cs="Arial"/>
          <w:sz w:val="20"/>
          <w:szCs w:val="20"/>
        </w:rPr>
      </w:pPr>
      <w:r w:rsidRPr="002F6880">
        <w:rPr>
          <w:rFonts w:ascii="Arial" w:hAnsi="Arial" w:cs="Arial"/>
          <w:sz w:val="20"/>
          <w:szCs w:val="20"/>
        </w:rPr>
        <w:t>AFAN has always been cont</w:t>
      </w:r>
      <w:r w:rsidR="00C701A7" w:rsidRPr="002F6880">
        <w:rPr>
          <w:rFonts w:ascii="Arial" w:hAnsi="Arial" w:cs="Arial"/>
          <w:sz w:val="20"/>
          <w:szCs w:val="20"/>
        </w:rPr>
        <w:t>rolled by top-level politicians</w:t>
      </w:r>
      <w:r w:rsidRPr="002F6880">
        <w:rPr>
          <w:rFonts w:ascii="Arial" w:hAnsi="Arial" w:cs="Arial"/>
          <w:sz w:val="20"/>
          <w:szCs w:val="20"/>
        </w:rPr>
        <w:t xml:space="preserve"> and its membership </w:t>
      </w:r>
      <w:r w:rsidR="00C701A7" w:rsidRPr="002F6880">
        <w:rPr>
          <w:rFonts w:ascii="Arial" w:hAnsi="Arial" w:cs="Arial"/>
          <w:sz w:val="20"/>
          <w:szCs w:val="20"/>
        </w:rPr>
        <w:t xml:space="preserve">is </w:t>
      </w:r>
      <w:r w:rsidRPr="002F6880">
        <w:rPr>
          <w:rFonts w:ascii="Arial" w:hAnsi="Arial" w:cs="Arial"/>
          <w:sz w:val="20"/>
          <w:szCs w:val="20"/>
        </w:rPr>
        <w:t xml:space="preserve">politically polarized. </w:t>
      </w:r>
      <w:r w:rsidR="00C701A7" w:rsidRPr="002F6880">
        <w:rPr>
          <w:rFonts w:ascii="Arial" w:hAnsi="Arial" w:cs="Arial"/>
          <w:sz w:val="20"/>
          <w:szCs w:val="20"/>
        </w:rPr>
        <w:t>AFAN’s internal organization means</w:t>
      </w:r>
      <w:r w:rsidRPr="002F6880">
        <w:rPr>
          <w:rFonts w:ascii="Arial" w:hAnsi="Arial" w:cs="Arial"/>
          <w:sz w:val="20"/>
          <w:szCs w:val="20"/>
        </w:rPr>
        <w:t xml:space="preserve"> that information can be speedily transmitted through the s</w:t>
      </w:r>
      <w:r w:rsidR="00C701A7" w:rsidRPr="002F6880">
        <w:rPr>
          <w:rFonts w:ascii="Arial" w:hAnsi="Arial" w:cs="Arial"/>
          <w:sz w:val="20"/>
          <w:szCs w:val="20"/>
        </w:rPr>
        <w:t xml:space="preserve">tructures to the members and </w:t>
      </w:r>
      <w:r w:rsidRPr="002F6880">
        <w:rPr>
          <w:rFonts w:ascii="Arial" w:hAnsi="Arial" w:cs="Arial"/>
          <w:sz w:val="20"/>
          <w:szCs w:val="20"/>
        </w:rPr>
        <w:t xml:space="preserve">they can be effective in mobilizing their broad-based membership.   </w:t>
      </w:r>
    </w:p>
    <w:p w:rsidR="00C701A7" w:rsidRPr="002F6880" w:rsidRDefault="0069286C" w:rsidP="00143070">
      <w:pPr>
        <w:spacing w:after="120" w:line="240" w:lineRule="auto"/>
        <w:rPr>
          <w:rFonts w:ascii="Arial" w:hAnsi="Arial" w:cs="Arial"/>
          <w:sz w:val="20"/>
          <w:szCs w:val="20"/>
        </w:rPr>
      </w:pPr>
      <w:r w:rsidRPr="002F6880">
        <w:rPr>
          <w:rFonts w:ascii="Arial" w:hAnsi="Arial" w:cs="Arial"/>
          <w:sz w:val="20"/>
          <w:szCs w:val="20"/>
        </w:rPr>
        <w:t>PEA</w:t>
      </w:r>
      <w:r w:rsidR="00C701A7" w:rsidRPr="002F6880">
        <w:rPr>
          <w:rFonts w:ascii="Arial" w:hAnsi="Arial" w:cs="Arial"/>
          <w:sz w:val="20"/>
          <w:szCs w:val="20"/>
        </w:rPr>
        <w:t xml:space="preserve">DIN, </w:t>
      </w:r>
      <w:r w:rsidRPr="002F6880">
        <w:rPr>
          <w:rFonts w:ascii="Arial" w:hAnsi="Arial" w:cs="Arial"/>
          <w:sz w:val="20"/>
          <w:szCs w:val="20"/>
        </w:rPr>
        <w:t>the Participatory Extension &amp; Advancement Development Initiative in Nigeria</w:t>
      </w:r>
      <w:r w:rsidRPr="002F6880">
        <w:rPr>
          <w:rStyle w:val="FootnoteReference"/>
          <w:rFonts w:ascii="Arial" w:hAnsi="Arial" w:cs="Arial"/>
          <w:sz w:val="20"/>
          <w:szCs w:val="20"/>
        </w:rPr>
        <w:footnoteReference w:id="38"/>
      </w:r>
      <w:r w:rsidRPr="002F6880">
        <w:rPr>
          <w:rFonts w:ascii="Arial" w:hAnsi="Arial" w:cs="Arial"/>
          <w:sz w:val="20"/>
          <w:szCs w:val="20"/>
        </w:rPr>
        <w:t xml:space="preserve">, </w:t>
      </w:r>
      <w:r w:rsidR="00C701A7" w:rsidRPr="002F6880">
        <w:rPr>
          <w:rFonts w:ascii="Arial" w:hAnsi="Arial" w:cs="Arial"/>
          <w:sz w:val="20"/>
          <w:szCs w:val="20"/>
        </w:rPr>
        <w:t xml:space="preserve">is </w:t>
      </w:r>
      <w:r w:rsidRPr="002F6880">
        <w:rPr>
          <w:rFonts w:ascii="Arial" w:hAnsi="Arial" w:cs="Arial"/>
          <w:sz w:val="20"/>
          <w:szCs w:val="20"/>
        </w:rPr>
        <w:t>a registered NGO whose leaders are also in the</w:t>
      </w:r>
      <w:r w:rsidR="00C701A7" w:rsidRPr="002F6880">
        <w:rPr>
          <w:rFonts w:ascii="Arial" w:hAnsi="Arial" w:cs="Arial"/>
          <w:sz w:val="20"/>
          <w:szCs w:val="20"/>
        </w:rPr>
        <w:t xml:space="preserve"> leadership of AFAN. T</w:t>
      </w:r>
      <w:r w:rsidRPr="002F6880">
        <w:rPr>
          <w:rFonts w:ascii="Arial" w:hAnsi="Arial" w:cs="Arial"/>
          <w:sz w:val="20"/>
          <w:szCs w:val="20"/>
        </w:rPr>
        <w:t xml:space="preserve">he group has technical expertise in extension, and across various commodity chains, in addition to strong private sector experience.  </w:t>
      </w:r>
    </w:p>
    <w:p w:rsidR="0069286C" w:rsidRPr="002F6880" w:rsidRDefault="0069286C" w:rsidP="0069286C">
      <w:pPr>
        <w:spacing w:after="0" w:line="240" w:lineRule="auto"/>
        <w:rPr>
          <w:rFonts w:ascii="Arial" w:hAnsi="Arial" w:cs="Arial"/>
          <w:sz w:val="20"/>
          <w:szCs w:val="20"/>
        </w:rPr>
      </w:pPr>
      <w:r w:rsidRPr="002F6880">
        <w:rPr>
          <w:rFonts w:ascii="Arial" w:hAnsi="Arial" w:cs="Arial"/>
          <w:sz w:val="20"/>
          <w:szCs w:val="20"/>
        </w:rPr>
        <w:t xml:space="preserve">PEADIN has no recognizable corporate track record in terms of projects implemented or successful partnerships with donor partners.  But the individuals involved in the organization have been very visible in the agriculture and rural development sector in general for many years. </w:t>
      </w:r>
    </w:p>
    <w:p w:rsidR="00401652" w:rsidRPr="00401652" w:rsidRDefault="00401652" w:rsidP="00143070">
      <w:pPr>
        <w:spacing w:before="240" w:after="120" w:line="240" w:lineRule="auto"/>
        <w:rPr>
          <w:rFonts w:ascii="Arial" w:hAnsi="Arial" w:cs="Arial"/>
          <w:b/>
          <w:sz w:val="20"/>
          <w:szCs w:val="20"/>
        </w:rPr>
      </w:pPr>
      <w:r w:rsidRPr="00401652">
        <w:rPr>
          <w:rFonts w:ascii="Arial" w:hAnsi="Arial" w:cs="Arial"/>
          <w:b/>
          <w:sz w:val="20"/>
          <w:szCs w:val="20"/>
        </w:rPr>
        <w:t xml:space="preserve">West African Agricultural Productivity Program-Nigeria (WAAPP) </w:t>
      </w:r>
    </w:p>
    <w:p w:rsidR="00401652" w:rsidRPr="002125E1" w:rsidRDefault="00401652" w:rsidP="00143070">
      <w:pPr>
        <w:pStyle w:val="ListParagraph"/>
        <w:spacing w:after="120" w:line="240" w:lineRule="auto"/>
        <w:ind w:left="0"/>
        <w:contextualSpacing w:val="0"/>
        <w:rPr>
          <w:rFonts w:ascii="Arial" w:hAnsi="Arial" w:cs="Arial"/>
          <w:sz w:val="20"/>
          <w:szCs w:val="20"/>
        </w:rPr>
      </w:pPr>
      <w:r>
        <w:rPr>
          <w:rFonts w:ascii="Arial" w:hAnsi="Arial" w:cs="Arial"/>
          <w:sz w:val="20"/>
          <w:szCs w:val="20"/>
        </w:rPr>
        <w:t>WAAPP</w:t>
      </w:r>
      <w:r w:rsidRPr="00671E48">
        <w:rPr>
          <w:rFonts w:ascii="Arial" w:hAnsi="Arial" w:cs="Arial"/>
          <w:sz w:val="20"/>
          <w:szCs w:val="20"/>
        </w:rPr>
        <w:t xml:space="preserve"> is promoting agricultural value chain innovation platfo</w:t>
      </w:r>
      <w:r>
        <w:rPr>
          <w:rFonts w:ascii="Arial" w:hAnsi="Arial" w:cs="Arial"/>
          <w:sz w:val="20"/>
          <w:szCs w:val="20"/>
        </w:rPr>
        <w:t>rms (VCIPs) as a private sector-</w:t>
      </w:r>
      <w:r w:rsidRPr="00671E48">
        <w:rPr>
          <w:rFonts w:ascii="Arial" w:hAnsi="Arial" w:cs="Arial"/>
          <w:sz w:val="20"/>
          <w:szCs w:val="20"/>
        </w:rPr>
        <w:t>led vehicle for demand-driven diffusio</w:t>
      </w:r>
      <w:r>
        <w:rPr>
          <w:rFonts w:ascii="Arial" w:hAnsi="Arial" w:cs="Arial"/>
          <w:sz w:val="20"/>
          <w:szCs w:val="20"/>
        </w:rPr>
        <w:t xml:space="preserve">n of agricultural innovations. </w:t>
      </w:r>
      <w:r w:rsidRPr="002125E1">
        <w:rPr>
          <w:rFonts w:ascii="Arial" w:hAnsi="Arial" w:cs="Arial"/>
          <w:sz w:val="20"/>
          <w:szCs w:val="20"/>
        </w:rPr>
        <w:t xml:space="preserve">The use of value chain innovation platforms has proved to be very effective in the diffusion of agricultural innovations; trained members or facilitators of the value chain innovation platforms serve in communicating vital messages to other members. </w:t>
      </w:r>
    </w:p>
    <w:p w:rsidR="00401652" w:rsidRDefault="00401652" w:rsidP="00143070">
      <w:pPr>
        <w:pStyle w:val="ListParagraph"/>
        <w:spacing w:after="120" w:line="240" w:lineRule="auto"/>
        <w:ind w:left="0"/>
        <w:contextualSpacing w:val="0"/>
        <w:rPr>
          <w:rFonts w:ascii="Arial" w:hAnsi="Arial" w:cs="Arial"/>
          <w:sz w:val="20"/>
          <w:szCs w:val="20"/>
        </w:rPr>
      </w:pPr>
      <w:r w:rsidRPr="002125E1">
        <w:rPr>
          <w:rFonts w:ascii="Arial" w:hAnsi="Arial" w:cs="Arial"/>
          <w:sz w:val="20"/>
          <w:szCs w:val="20"/>
        </w:rPr>
        <w:t xml:space="preserve">The value chain innovation platforms members negotiate for bulk agro inputs, financial services, and access </w:t>
      </w:r>
      <w:r>
        <w:rPr>
          <w:rFonts w:ascii="Arial" w:hAnsi="Arial" w:cs="Arial"/>
          <w:sz w:val="20"/>
          <w:szCs w:val="20"/>
        </w:rPr>
        <w:t xml:space="preserve">to markets for their products. </w:t>
      </w:r>
      <w:r w:rsidRPr="002125E1">
        <w:rPr>
          <w:rFonts w:ascii="Arial" w:hAnsi="Arial" w:cs="Arial"/>
          <w:sz w:val="20"/>
          <w:szCs w:val="20"/>
        </w:rPr>
        <w:t xml:space="preserve">They also organize their own study tours to learn new agro processing innovations and product diversifications </w:t>
      </w:r>
      <w:r>
        <w:rPr>
          <w:rFonts w:ascii="Arial" w:hAnsi="Arial" w:cs="Arial"/>
          <w:sz w:val="20"/>
          <w:szCs w:val="20"/>
        </w:rPr>
        <w:t>that</w:t>
      </w:r>
      <w:r w:rsidRPr="002125E1">
        <w:rPr>
          <w:rFonts w:ascii="Arial" w:hAnsi="Arial" w:cs="Arial"/>
          <w:sz w:val="20"/>
          <w:szCs w:val="20"/>
        </w:rPr>
        <w:t xml:space="preserve"> they can repl</w:t>
      </w:r>
      <w:r>
        <w:rPr>
          <w:rFonts w:ascii="Arial" w:hAnsi="Arial" w:cs="Arial"/>
          <w:sz w:val="20"/>
          <w:szCs w:val="20"/>
        </w:rPr>
        <w:t xml:space="preserve">icate in their domains. </w:t>
      </w:r>
    </w:p>
    <w:p w:rsidR="00401652" w:rsidRDefault="00401652" w:rsidP="00143070">
      <w:pPr>
        <w:pStyle w:val="ListParagraph"/>
        <w:spacing w:after="120" w:line="240" w:lineRule="auto"/>
        <w:ind w:left="0"/>
        <w:contextualSpacing w:val="0"/>
        <w:rPr>
          <w:rFonts w:ascii="Arial" w:hAnsi="Arial" w:cs="Arial"/>
          <w:sz w:val="20"/>
          <w:szCs w:val="20"/>
        </w:rPr>
      </w:pPr>
      <w:r>
        <w:rPr>
          <w:rFonts w:ascii="Arial" w:hAnsi="Arial" w:cs="Arial"/>
          <w:sz w:val="20"/>
          <w:szCs w:val="20"/>
        </w:rPr>
        <w:t xml:space="preserve">The </w:t>
      </w:r>
      <w:r w:rsidRPr="002125E1">
        <w:rPr>
          <w:rFonts w:ascii="Arial" w:hAnsi="Arial" w:cs="Arial"/>
          <w:sz w:val="20"/>
          <w:szCs w:val="20"/>
        </w:rPr>
        <w:t>approach requires initial nurturing, but evidence shows that the platforms can become self-organized and self-directed. One of the platforms orchestrated by the RIU Project in 2009 is the most successful and established in Nigeria today, with operations in 12 states and an enrolled membership of 138,000.  From i</w:t>
      </w:r>
      <w:r w:rsidR="00143070">
        <w:rPr>
          <w:rFonts w:ascii="Arial" w:hAnsi="Arial" w:cs="Arial"/>
          <w:sz w:val="20"/>
          <w:szCs w:val="20"/>
        </w:rPr>
        <w:t>ts initial focus on c</w:t>
      </w:r>
      <w:r>
        <w:rPr>
          <w:rFonts w:ascii="Arial" w:hAnsi="Arial" w:cs="Arial"/>
          <w:sz w:val="20"/>
          <w:szCs w:val="20"/>
        </w:rPr>
        <w:t>assava, it evolved into a root &amp; tuber c</w:t>
      </w:r>
      <w:r w:rsidRPr="002125E1">
        <w:rPr>
          <w:rFonts w:ascii="Arial" w:hAnsi="Arial" w:cs="Arial"/>
          <w:sz w:val="20"/>
          <w:szCs w:val="20"/>
        </w:rPr>
        <w:t xml:space="preserve">rops </w:t>
      </w:r>
      <w:r w:rsidRPr="00671E48">
        <w:rPr>
          <w:rFonts w:ascii="Arial" w:hAnsi="Arial" w:cs="Arial"/>
          <w:sz w:val="20"/>
          <w:szCs w:val="20"/>
        </w:rPr>
        <w:t>value chain innovation platfo</w:t>
      </w:r>
      <w:r w:rsidR="00143070">
        <w:rPr>
          <w:rFonts w:ascii="Arial" w:hAnsi="Arial" w:cs="Arial"/>
          <w:sz w:val="20"/>
          <w:szCs w:val="20"/>
        </w:rPr>
        <w:t>rm</w:t>
      </w:r>
      <w:r w:rsidRPr="002125E1">
        <w:rPr>
          <w:rFonts w:ascii="Arial" w:hAnsi="Arial" w:cs="Arial"/>
          <w:sz w:val="20"/>
          <w:szCs w:val="20"/>
        </w:rPr>
        <w:t xml:space="preserve">, focusing on yam, cassava, potato, cocoa-yam and turmeric. </w:t>
      </w:r>
      <w:r>
        <w:rPr>
          <w:rFonts w:ascii="Arial" w:hAnsi="Arial" w:cs="Arial"/>
          <w:sz w:val="20"/>
          <w:szCs w:val="20"/>
        </w:rPr>
        <w:t>There is potential for partnering with ASHC</w:t>
      </w:r>
      <w:r w:rsidRPr="002125E1">
        <w:rPr>
          <w:rFonts w:ascii="Arial" w:hAnsi="Arial" w:cs="Arial"/>
          <w:sz w:val="20"/>
          <w:szCs w:val="20"/>
        </w:rPr>
        <w:t>.</w:t>
      </w:r>
    </w:p>
    <w:p w:rsidR="007328C8" w:rsidRDefault="007328C8" w:rsidP="00143070">
      <w:pPr>
        <w:pStyle w:val="ListParagraph"/>
        <w:spacing w:after="120" w:line="240" w:lineRule="auto"/>
        <w:ind w:left="0"/>
        <w:contextualSpacing w:val="0"/>
        <w:rPr>
          <w:rFonts w:ascii="Arial" w:hAnsi="Arial" w:cs="Arial"/>
          <w:sz w:val="20"/>
          <w:szCs w:val="20"/>
        </w:rPr>
      </w:pPr>
      <w:r w:rsidRPr="00C90DB2">
        <w:rPr>
          <w:rFonts w:ascii="Arial" w:hAnsi="Arial" w:cs="Arial"/>
          <w:sz w:val="20"/>
          <w:szCs w:val="20"/>
        </w:rPr>
        <w:t>WAAPP-Nigeria formed a strategy committee on soil fertility management and there is a plan to develop and impl</w:t>
      </w:r>
      <w:r>
        <w:rPr>
          <w:rFonts w:ascii="Arial" w:hAnsi="Arial" w:cs="Arial"/>
          <w:sz w:val="20"/>
          <w:szCs w:val="20"/>
        </w:rPr>
        <w:t xml:space="preserve">ement a pilot project in 2015. </w:t>
      </w:r>
      <w:r w:rsidRPr="00C90DB2">
        <w:rPr>
          <w:rFonts w:ascii="Arial" w:hAnsi="Arial" w:cs="Arial"/>
          <w:sz w:val="20"/>
          <w:szCs w:val="20"/>
        </w:rPr>
        <w:t xml:space="preserve">The ISFM project plan is </w:t>
      </w:r>
      <w:r>
        <w:rPr>
          <w:rFonts w:ascii="Arial" w:hAnsi="Arial" w:cs="Arial"/>
          <w:sz w:val="20"/>
          <w:szCs w:val="20"/>
        </w:rPr>
        <w:t xml:space="preserve">not yet ready to show details. </w:t>
      </w:r>
      <w:r w:rsidRPr="00C90DB2">
        <w:rPr>
          <w:rFonts w:ascii="Arial" w:hAnsi="Arial" w:cs="Arial"/>
          <w:sz w:val="20"/>
          <w:szCs w:val="20"/>
        </w:rPr>
        <w:t xml:space="preserve">However, it is expected that WAAPP will sponsor the </w:t>
      </w:r>
      <w:r w:rsidR="00143070">
        <w:rPr>
          <w:rFonts w:ascii="Arial" w:hAnsi="Arial" w:cs="Arial"/>
          <w:sz w:val="20"/>
          <w:szCs w:val="20"/>
        </w:rPr>
        <w:t>procurement of soil doctor kits</w:t>
      </w:r>
      <w:r w:rsidRPr="00C90DB2">
        <w:rPr>
          <w:rFonts w:ascii="Arial" w:hAnsi="Arial" w:cs="Arial"/>
          <w:sz w:val="20"/>
          <w:szCs w:val="20"/>
        </w:rPr>
        <w:t xml:space="preserve"> and other mobile soil-testing equipment, in addition to training of farmers </w:t>
      </w:r>
      <w:r>
        <w:rPr>
          <w:rFonts w:ascii="Arial" w:hAnsi="Arial" w:cs="Arial"/>
          <w:sz w:val="20"/>
          <w:szCs w:val="20"/>
        </w:rPr>
        <w:t xml:space="preserve">and service providers on ISFM; </w:t>
      </w:r>
      <w:r w:rsidRPr="00C90DB2">
        <w:rPr>
          <w:rFonts w:ascii="Arial" w:hAnsi="Arial" w:cs="Arial"/>
          <w:sz w:val="20"/>
          <w:szCs w:val="20"/>
        </w:rPr>
        <w:t xml:space="preserve">the initiative will be integrated into enlarged interventions on the System of Rice </w:t>
      </w:r>
      <w:r>
        <w:rPr>
          <w:rFonts w:ascii="Arial" w:hAnsi="Arial" w:cs="Arial"/>
          <w:sz w:val="20"/>
          <w:szCs w:val="20"/>
        </w:rPr>
        <w:t xml:space="preserve">Intensification (SRI) in 2015. </w:t>
      </w:r>
      <w:r w:rsidRPr="00C90DB2">
        <w:rPr>
          <w:rFonts w:ascii="Arial" w:hAnsi="Arial" w:cs="Arial"/>
          <w:sz w:val="20"/>
          <w:szCs w:val="20"/>
        </w:rPr>
        <w:t xml:space="preserve">It is not clear if the ISFM will also be applied to other WAAPP-assisted crop subsectors, such as maize, sorghum and groundnut in 2015, but that is certain to happen in 2016.  It would be of great </w:t>
      </w:r>
      <w:r>
        <w:rPr>
          <w:rFonts w:ascii="Arial" w:hAnsi="Arial" w:cs="Arial"/>
          <w:sz w:val="20"/>
          <w:szCs w:val="20"/>
        </w:rPr>
        <w:t>opportunity for ASHC to</w:t>
      </w:r>
      <w:r w:rsidRPr="00C90DB2">
        <w:rPr>
          <w:rFonts w:ascii="Arial" w:hAnsi="Arial" w:cs="Arial"/>
          <w:sz w:val="20"/>
          <w:szCs w:val="20"/>
        </w:rPr>
        <w:t xml:space="preserve"> collaborate </w:t>
      </w:r>
      <w:r>
        <w:rPr>
          <w:rFonts w:ascii="Arial" w:hAnsi="Arial" w:cs="Arial"/>
          <w:sz w:val="20"/>
          <w:szCs w:val="20"/>
        </w:rPr>
        <w:t xml:space="preserve">with WAAPP on ISFM in Nigeria. </w:t>
      </w:r>
      <w:r w:rsidRPr="00C90DB2">
        <w:rPr>
          <w:rFonts w:ascii="Arial" w:hAnsi="Arial" w:cs="Arial"/>
          <w:sz w:val="20"/>
          <w:szCs w:val="20"/>
        </w:rPr>
        <w:t>The WAAPP-assisted Value Chain Innovation Platforms (VCIPs)</w:t>
      </w:r>
      <w:r>
        <w:rPr>
          <w:rFonts w:ascii="Arial" w:hAnsi="Arial" w:cs="Arial"/>
          <w:sz w:val="20"/>
          <w:szCs w:val="20"/>
        </w:rPr>
        <w:t>,</w:t>
      </w:r>
      <w:r w:rsidRPr="00C90DB2">
        <w:rPr>
          <w:rFonts w:ascii="Arial" w:hAnsi="Arial" w:cs="Arial"/>
          <w:sz w:val="20"/>
          <w:szCs w:val="20"/>
        </w:rPr>
        <w:t xml:space="preserve"> which currently have a combined membership of nearly one million nationwide, could ser</w:t>
      </w:r>
      <w:r>
        <w:rPr>
          <w:rFonts w:ascii="Arial" w:hAnsi="Arial" w:cs="Arial"/>
          <w:sz w:val="20"/>
          <w:szCs w:val="20"/>
        </w:rPr>
        <w:t>ve as vehicles for the dissemination</w:t>
      </w:r>
      <w:r w:rsidRPr="00C90DB2">
        <w:rPr>
          <w:rFonts w:ascii="Arial" w:hAnsi="Arial" w:cs="Arial"/>
          <w:sz w:val="20"/>
          <w:szCs w:val="20"/>
        </w:rPr>
        <w:t xml:space="preserve"> of ISFM innovations among the farmers in all crop subsectors.</w:t>
      </w:r>
    </w:p>
    <w:p w:rsidR="007328C8" w:rsidRDefault="007328C8" w:rsidP="00143070">
      <w:pPr>
        <w:pStyle w:val="ListParagraph"/>
        <w:spacing w:after="0" w:line="240" w:lineRule="auto"/>
        <w:ind w:left="0"/>
        <w:rPr>
          <w:rFonts w:ascii="Times New Roman" w:hAnsi="Times New Roman"/>
          <w:sz w:val="24"/>
          <w:szCs w:val="24"/>
        </w:rPr>
      </w:pPr>
      <w:r w:rsidRPr="00F039CC">
        <w:rPr>
          <w:rFonts w:ascii="Arial" w:hAnsi="Arial" w:cs="Arial"/>
          <w:sz w:val="20"/>
          <w:szCs w:val="20"/>
        </w:rPr>
        <w:t xml:space="preserve">WAAPP-Nigeria has invested on training and kitting of selected personnel from partner-organizations on e-extension, which involves the use of electronic platforms to provide agricultural advisory services, report problems spotted by farmers, and conduct a variety of other transactions. It will also be integrated with the GPS applications, for which WAAPP has already sponsored trainings and the acquisition of GPS devices for staff of partner-organizations. But the electronic platform activities do not include financial transactions such as those provided under the </w:t>
      </w:r>
      <w:proofErr w:type="spellStart"/>
      <w:r w:rsidRPr="00F039CC">
        <w:rPr>
          <w:rFonts w:ascii="Arial" w:hAnsi="Arial" w:cs="Arial"/>
          <w:sz w:val="20"/>
          <w:szCs w:val="20"/>
        </w:rPr>
        <w:t>mPesa</w:t>
      </w:r>
      <w:proofErr w:type="spellEnd"/>
      <w:r w:rsidRPr="00F039CC">
        <w:rPr>
          <w:rFonts w:ascii="Arial" w:hAnsi="Arial" w:cs="Arial"/>
          <w:sz w:val="20"/>
          <w:szCs w:val="20"/>
        </w:rPr>
        <w:t xml:space="preserve"> in East Africa. The Federal Ministry of Agriculture and Rural Development is interested in scaling up the e-extension platforms if the pilot phase is</w:t>
      </w:r>
      <w:r w:rsidR="00143070">
        <w:rPr>
          <w:rFonts w:ascii="Arial" w:hAnsi="Arial" w:cs="Arial"/>
          <w:sz w:val="20"/>
          <w:szCs w:val="20"/>
        </w:rPr>
        <w:t xml:space="preserve"> </w:t>
      </w:r>
      <w:r w:rsidRPr="00F039CC">
        <w:rPr>
          <w:rFonts w:ascii="Arial" w:hAnsi="Arial" w:cs="Arial"/>
          <w:sz w:val="20"/>
          <w:szCs w:val="20"/>
        </w:rPr>
        <w:t>successful.  However, the WAAPP-sponsored initiative has not become operational</w:t>
      </w:r>
      <w:r w:rsidRPr="00143070">
        <w:rPr>
          <w:rFonts w:ascii="Arial" w:hAnsi="Arial" w:cs="Arial"/>
          <w:sz w:val="20"/>
          <w:szCs w:val="20"/>
        </w:rPr>
        <w:t>.</w:t>
      </w:r>
      <w:r>
        <w:rPr>
          <w:rFonts w:ascii="Times New Roman" w:hAnsi="Times New Roman"/>
          <w:sz w:val="24"/>
          <w:szCs w:val="24"/>
        </w:rPr>
        <w:t xml:space="preserve">   </w:t>
      </w:r>
    </w:p>
    <w:p w:rsidR="007328C8" w:rsidRDefault="007328C8" w:rsidP="00401652">
      <w:pPr>
        <w:pStyle w:val="ListParagraph"/>
        <w:spacing w:after="0" w:line="240" w:lineRule="auto"/>
        <w:ind w:left="0"/>
        <w:rPr>
          <w:rFonts w:ascii="Arial" w:hAnsi="Arial" w:cs="Arial"/>
          <w:sz w:val="20"/>
          <w:szCs w:val="20"/>
        </w:rPr>
      </w:pPr>
    </w:p>
    <w:p w:rsidR="00401652" w:rsidRPr="0053370D" w:rsidRDefault="00401652" w:rsidP="00401652">
      <w:pPr>
        <w:pStyle w:val="ListParagraph"/>
        <w:spacing w:after="0" w:line="240" w:lineRule="auto"/>
        <w:ind w:left="0"/>
        <w:rPr>
          <w:rFonts w:ascii="Arial" w:hAnsi="Arial" w:cs="Arial"/>
          <w:b/>
          <w:sz w:val="20"/>
          <w:szCs w:val="20"/>
        </w:rPr>
      </w:pPr>
      <w:r w:rsidRPr="0053370D">
        <w:rPr>
          <w:rFonts w:ascii="Arial" w:hAnsi="Arial" w:cs="Arial"/>
          <w:b/>
          <w:sz w:val="20"/>
          <w:szCs w:val="20"/>
        </w:rPr>
        <w:t>Shell Petroleum D</w:t>
      </w:r>
      <w:r w:rsidR="007328C8">
        <w:rPr>
          <w:rFonts w:ascii="Arial" w:hAnsi="Arial" w:cs="Arial"/>
          <w:b/>
          <w:sz w:val="20"/>
          <w:szCs w:val="20"/>
        </w:rPr>
        <w:t xml:space="preserve">evelopment Company </w:t>
      </w:r>
      <w:r>
        <w:rPr>
          <w:rFonts w:ascii="Arial" w:hAnsi="Arial" w:cs="Arial"/>
          <w:b/>
          <w:sz w:val="20"/>
          <w:szCs w:val="20"/>
        </w:rPr>
        <w:t xml:space="preserve">and </w:t>
      </w:r>
      <w:r w:rsidR="007328C8">
        <w:rPr>
          <w:rFonts w:ascii="Arial" w:hAnsi="Arial" w:cs="Arial"/>
          <w:b/>
          <w:sz w:val="20"/>
          <w:szCs w:val="20"/>
        </w:rPr>
        <w:t xml:space="preserve">Nigeria </w:t>
      </w:r>
      <w:proofErr w:type="spellStart"/>
      <w:r w:rsidR="007328C8">
        <w:rPr>
          <w:rFonts w:ascii="Arial" w:hAnsi="Arial" w:cs="Arial"/>
          <w:b/>
          <w:sz w:val="20"/>
          <w:szCs w:val="20"/>
        </w:rPr>
        <w:t>Agip</w:t>
      </w:r>
      <w:proofErr w:type="spellEnd"/>
      <w:r w:rsidR="007328C8">
        <w:rPr>
          <w:rFonts w:ascii="Arial" w:hAnsi="Arial" w:cs="Arial"/>
          <w:b/>
          <w:sz w:val="20"/>
          <w:szCs w:val="20"/>
        </w:rPr>
        <w:t xml:space="preserve"> Oil Company </w:t>
      </w:r>
    </w:p>
    <w:p w:rsidR="00401652" w:rsidRDefault="00401652" w:rsidP="00143070">
      <w:pPr>
        <w:pStyle w:val="ListParagraph"/>
        <w:spacing w:after="120" w:line="240" w:lineRule="auto"/>
        <w:ind w:left="0"/>
        <w:contextualSpacing w:val="0"/>
        <w:rPr>
          <w:rFonts w:ascii="Arial" w:hAnsi="Arial" w:cs="Arial"/>
          <w:sz w:val="20"/>
          <w:szCs w:val="20"/>
        </w:rPr>
      </w:pPr>
      <w:r>
        <w:rPr>
          <w:rFonts w:ascii="Arial" w:hAnsi="Arial" w:cs="Arial"/>
          <w:sz w:val="20"/>
          <w:szCs w:val="20"/>
        </w:rPr>
        <w:lastRenderedPageBreak/>
        <w:t xml:space="preserve">Oil companies contract qualified firms </w:t>
      </w:r>
      <w:r w:rsidRPr="0053370D">
        <w:rPr>
          <w:rFonts w:ascii="Arial" w:hAnsi="Arial" w:cs="Arial"/>
          <w:sz w:val="20"/>
          <w:szCs w:val="20"/>
        </w:rPr>
        <w:t>to provide expert servi</w:t>
      </w:r>
      <w:r>
        <w:rPr>
          <w:rFonts w:ascii="Arial" w:hAnsi="Arial" w:cs="Arial"/>
          <w:sz w:val="20"/>
          <w:szCs w:val="20"/>
        </w:rPr>
        <w:t>ces in agricultural extension for</w:t>
      </w:r>
      <w:r w:rsidRPr="0053370D">
        <w:rPr>
          <w:rFonts w:ascii="Arial" w:hAnsi="Arial" w:cs="Arial"/>
          <w:sz w:val="20"/>
          <w:szCs w:val="20"/>
        </w:rPr>
        <w:t xml:space="preserve"> oil-bearing rural communities as part of a giving-bac</w:t>
      </w:r>
      <w:r>
        <w:rPr>
          <w:rFonts w:ascii="Arial" w:hAnsi="Arial" w:cs="Arial"/>
          <w:sz w:val="20"/>
          <w:szCs w:val="20"/>
        </w:rPr>
        <w:t xml:space="preserve">k package. </w:t>
      </w:r>
      <w:r w:rsidRPr="0053370D">
        <w:rPr>
          <w:rFonts w:ascii="Arial" w:hAnsi="Arial" w:cs="Arial"/>
          <w:sz w:val="20"/>
          <w:szCs w:val="20"/>
        </w:rPr>
        <w:t>The giving-back activities are also part of the ways to pacify the Niger Delta militancy that disrupted oil operations some years ago before an amnesty deal was reache</w:t>
      </w:r>
      <w:r>
        <w:rPr>
          <w:rFonts w:ascii="Arial" w:hAnsi="Arial" w:cs="Arial"/>
          <w:sz w:val="20"/>
          <w:szCs w:val="20"/>
        </w:rPr>
        <w:t xml:space="preserve">d with the federal government. </w:t>
      </w:r>
    </w:p>
    <w:p w:rsidR="00401652" w:rsidRPr="0053370D" w:rsidRDefault="00401652" w:rsidP="00401652">
      <w:pPr>
        <w:pStyle w:val="ListParagraph"/>
        <w:spacing w:after="0" w:line="240" w:lineRule="auto"/>
        <w:ind w:left="0"/>
        <w:rPr>
          <w:rFonts w:ascii="Arial" w:hAnsi="Arial" w:cs="Arial"/>
          <w:sz w:val="20"/>
          <w:szCs w:val="20"/>
        </w:rPr>
      </w:pPr>
      <w:r w:rsidRPr="0053370D">
        <w:rPr>
          <w:rFonts w:ascii="Arial" w:hAnsi="Arial" w:cs="Arial"/>
          <w:sz w:val="20"/>
          <w:szCs w:val="20"/>
        </w:rPr>
        <w:t xml:space="preserve">The contracted firms engage qualified extension personnel </w:t>
      </w:r>
      <w:r w:rsidR="007328C8">
        <w:rPr>
          <w:rFonts w:ascii="Arial" w:hAnsi="Arial" w:cs="Arial"/>
          <w:sz w:val="20"/>
          <w:szCs w:val="20"/>
        </w:rPr>
        <w:t xml:space="preserve">on short-term contracts </w:t>
      </w:r>
      <w:r w:rsidRPr="0053370D">
        <w:rPr>
          <w:rFonts w:ascii="Arial" w:hAnsi="Arial" w:cs="Arial"/>
          <w:sz w:val="20"/>
          <w:szCs w:val="20"/>
        </w:rPr>
        <w:t>to implement the community outreach contracts, and produce results, which usually help in building a friendly relationship between the oil companies an</w:t>
      </w:r>
      <w:r>
        <w:rPr>
          <w:rFonts w:ascii="Arial" w:hAnsi="Arial" w:cs="Arial"/>
          <w:sz w:val="20"/>
          <w:szCs w:val="20"/>
        </w:rPr>
        <w:t xml:space="preserve">d the beneficiary communities. </w:t>
      </w:r>
    </w:p>
    <w:p w:rsidR="00401652" w:rsidRPr="002125E1" w:rsidRDefault="00401652" w:rsidP="00401652">
      <w:pPr>
        <w:pStyle w:val="ListParagraph"/>
        <w:spacing w:after="0" w:line="240" w:lineRule="auto"/>
        <w:ind w:left="0"/>
        <w:rPr>
          <w:rFonts w:ascii="Arial" w:hAnsi="Arial" w:cs="Arial"/>
          <w:sz w:val="20"/>
          <w:szCs w:val="20"/>
        </w:rPr>
      </w:pPr>
    </w:p>
    <w:p w:rsidR="00C701A7" w:rsidRPr="00C701A7" w:rsidRDefault="00C701A7" w:rsidP="00C701A7">
      <w:pPr>
        <w:pStyle w:val="ListParagraph"/>
        <w:spacing w:after="0" w:line="240" w:lineRule="auto"/>
        <w:ind w:left="0"/>
        <w:rPr>
          <w:rFonts w:ascii="Arial" w:hAnsi="Arial" w:cs="Arial"/>
          <w:b/>
          <w:sz w:val="20"/>
          <w:szCs w:val="20"/>
        </w:rPr>
      </w:pPr>
      <w:r w:rsidRPr="00C701A7">
        <w:rPr>
          <w:rFonts w:ascii="Arial" w:hAnsi="Arial" w:cs="Arial"/>
          <w:b/>
          <w:sz w:val="20"/>
          <w:szCs w:val="20"/>
        </w:rPr>
        <w:t xml:space="preserve">The Green Sahel Agricultural and Rural Development Initiative </w:t>
      </w:r>
    </w:p>
    <w:p w:rsidR="00C701A7" w:rsidRPr="00C701A7" w:rsidRDefault="00C701A7" w:rsidP="00C701A7">
      <w:pPr>
        <w:pStyle w:val="ListParagraph"/>
        <w:spacing w:after="0" w:line="240" w:lineRule="auto"/>
        <w:ind w:left="0"/>
        <w:rPr>
          <w:rFonts w:ascii="Arial" w:hAnsi="Arial" w:cs="Arial"/>
          <w:sz w:val="20"/>
          <w:szCs w:val="20"/>
        </w:rPr>
      </w:pPr>
      <w:r w:rsidRPr="00C701A7">
        <w:rPr>
          <w:rFonts w:ascii="Arial" w:hAnsi="Arial" w:cs="Arial"/>
          <w:sz w:val="20"/>
          <w:szCs w:val="20"/>
        </w:rPr>
        <w:t>The Green Sahel Agricultural and Rural Development Initiative (GSARDI)</w:t>
      </w:r>
      <w:r w:rsidRPr="00C701A7">
        <w:rPr>
          <w:rFonts w:ascii="Arial" w:hAnsi="Arial" w:cs="Arial"/>
          <w:sz w:val="20"/>
          <w:szCs w:val="20"/>
          <w:vertAlign w:val="superscript"/>
        </w:rPr>
        <w:footnoteReference w:id="39"/>
      </w:r>
      <w:r w:rsidRPr="00C701A7">
        <w:rPr>
          <w:rFonts w:ascii="Arial" w:hAnsi="Arial" w:cs="Arial"/>
          <w:sz w:val="20"/>
          <w:szCs w:val="20"/>
        </w:rPr>
        <w:t xml:space="preserve">, a local service provider with project experience in </w:t>
      </w:r>
      <w:proofErr w:type="spellStart"/>
      <w:r w:rsidRPr="00C701A7">
        <w:rPr>
          <w:rFonts w:ascii="Arial" w:hAnsi="Arial" w:cs="Arial"/>
          <w:sz w:val="20"/>
          <w:szCs w:val="20"/>
        </w:rPr>
        <w:t>Gumel</w:t>
      </w:r>
      <w:proofErr w:type="spellEnd"/>
      <w:r w:rsidRPr="00C701A7">
        <w:rPr>
          <w:rFonts w:ascii="Arial" w:hAnsi="Arial" w:cs="Arial"/>
          <w:sz w:val="20"/>
          <w:szCs w:val="20"/>
        </w:rPr>
        <w:t xml:space="preserve"> (</w:t>
      </w:r>
      <w:proofErr w:type="spellStart"/>
      <w:r w:rsidRPr="00C701A7">
        <w:rPr>
          <w:rFonts w:ascii="Arial" w:hAnsi="Arial" w:cs="Arial"/>
          <w:sz w:val="20"/>
          <w:szCs w:val="20"/>
        </w:rPr>
        <w:t>Jigawa</w:t>
      </w:r>
      <w:proofErr w:type="spellEnd"/>
      <w:r w:rsidRPr="00C701A7">
        <w:rPr>
          <w:rFonts w:ascii="Arial" w:hAnsi="Arial" w:cs="Arial"/>
          <w:sz w:val="20"/>
          <w:szCs w:val="20"/>
        </w:rPr>
        <w:t xml:space="preserve"> State), </w:t>
      </w:r>
      <w:proofErr w:type="spellStart"/>
      <w:r w:rsidRPr="00C701A7">
        <w:rPr>
          <w:rFonts w:ascii="Arial" w:hAnsi="Arial" w:cs="Arial"/>
          <w:sz w:val="20"/>
          <w:szCs w:val="20"/>
        </w:rPr>
        <w:t>Abakaliki</w:t>
      </w:r>
      <w:proofErr w:type="spellEnd"/>
      <w:r w:rsidRPr="00C701A7">
        <w:rPr>
          <w:rFonts w:ascii="Arial" w:hAnsi="Arial" w:cs="Arial"/>
          <w:sz w:val="20"/>
          <w:szCs w:val="20"/>
        </w:rPr>
        <w:t xml:space="preserve"> (</w:t>
      </w:r>
      <w:proofErr w:type="spellStart"/>
      <w:r w:rsidRPr="00C701A7">
        <w:rPr>
          <w:rFonts w:ascii="Arial" w:hAnsi="Arial" w:cs="Arial"/>
          <w:sz w:val="20"/>
          <w:szCs w:val="20"/>
        </w:rPr>
        <w:t>Ebonyi</w:t>
      </w:r>
      <w:proofErr w:type="spellEnd"/>
      <w:r w:rsidRPr="00C701A7">
        <w:rPr>
          <w:rFonts w:ascii="Arial" w:hAnsi="Arial" w:cs="Arial"/>
          <w:sz w:val="20"/>
          <w:szCs w:val="20"/>
        </w:rPr>
        <w:t xml:space="preserve"> State), </w:t>
      </w:r>
      <w:proofErr w:type="spellStart"/>
      <w:r w:rsidRPr="00C701A7">
        <w:rPr>
          <w:rFonts w:ascii="Arial" w:hAnsi="Arial" w:cs="Arial"/>
          <w:sz w:val="20"/>
          <w:szCs w:val="20"/>
        </w:rPr>
        <w:t>Bida</w:t>
      </w:r>
      <w:proofErr w:type="spellEnd"/>
      <w:r w:rsidRPr="00C701A7">
        <w:rPr>
          <w:rFonts w:ascii="Arial" w:hAnsi="Arial" w:cs="Arial"/>
          <w:sz w:val="20"/>
          <w:szCs w:val="20"/>
        </w:rPr>
        <w:t xml:space="preserve"> (Niger State), and around </w:t>
      </w:r>
      <w:proofErr w:type="spellStart"/>
      <w:r w:rsidRPr="00C701A7">
        <w:rPr>
          <w:rFonts w:ascii="Arial" w:hAnsi="Arial" w:cs="Arial"/>
          <w:sz w:val="20"/>
          <w:szCs w:val="20"/>
        </w:rPr>
        <w:t>Obudu</w:t>
      </w:r>
      <w:proofErr w:type="spellEnd"/>
      <w:r w:rsidRPr="00C701A7">
        <w:rPr>
          <w:rFonts w:ascii="Arial" w:hAnsi="Arial" w:cs="Arial"/>
          <w:sz w:val="20"/>
          <w:szCs w:val="20"/>
        </w:rPr>
        <w:t xml:space="preserve"> (Cross River State). The leader of GSAR</w:t>
      </w:r>
      <w:r>
        <w:rPr>
          <w:rFonts w:ascii="Arial" w:hAnsi="Arial" w:cs="Arial"/>
          <w:sz w:val="20"/>
          <w:szCs w:val="20"/>
        </w:rPr>
        <w:t xml:space="preserve">DI has strong expertise on System of Rice Intensification) and ISFM. </w:t>
      </w:r>
      <w:r w:rsidRPr="00C701A7">
        <w:rPr>
          <w:rFonts w:ascii="Arial" w:hAnsi="Arial" w:cs="Arial"/>
          <w:sz w:val="20"/>
          <w:szCs w:val="20"/>
        </w:rPr>
        <w:t>The processes of the NGO have been more transparent and accountable than those of the occupational associations.</w:t>
      </w:r>
      <w:r w:rsidR="00143070">
        <w:rPr>
          <w:rFonts w:ascii="Arial" w:hAnsi="Arial" w:cs="Arial"/>
          <w:sz w:val="20"/>
          <w:szCs w:val="20"/>
        </w:rPr>
        <w:t xml:space="preserve"> </w:t>
      </w:r>
      <w:r w:rsidRPr="00C701A7">
        <w:rPr>
          <w:rFonts w:ascii="Arial" w:hAnsi="Arial" w:cs="Arial"/>
          <w:sz w:val="20"/>
          <w:szCs w:val="20"/>
        </w:rPr>
        <w:t>Perhaps, as a rural service-based NGO, it is not burdened by the politics of occupational membership associations. The group has successfully implemented projects in partnership with USAID, IFDC and WAAPP in various parts of Nigeria.</w:t>
      </w:r>
    </w:p>
    <w:p w:rsidR="00BD5A7E" w:rsidRPr="00D422AE" w:rsidRDefault="00BD5A7E" w:rsidP="00BD5A7E">
      <w:pPr>
        <w:spacing w:before="240" w:line="240" w:lineRule="auto"/>
        <w:rPr>
          <w:rFonts w:ascii="Arial" w:hAnsi="Arial" w:cs="Arial"/>
          <w:b/>
          <w:color w:val="92D050"/>
          <w:sz w:val="24"/>
          <w:szCs w:val="24"/>
        </w:rPr>
      </w:pPr>
      <w:r w:rsidRPr="00D422AE">
        <w:rPr>
          <w:rFonts w:ascii="Arial" w:hAnsi="Arial" w:cs="Arial"/>
          <w:b/>
          <w:color w:val="92D050"/>
          <w:sz w:val="24"/>
          <w:szCs w:val="24"/>
        </w:rPr>
        <w:t>Indicative scale-up campaign</w:t>
      </w:r>
    </w:p>
    <w:p w:rsidR="00BD5A7E" w:rsidRPr="00BD5A7E" w:rsidRDefault="00BD5A7E" w:rsidP="00BD5A7E">
      <w:pPr>
        <w:spacing w:before="120" w:after="0" w:line="240" w:lineRule="auto"/>
        <w:rPr>
          <w:rFonts w:ascii="Arial" w:hAnsi="Arial" w:cs="Arial"/>
          <w:b/>
          <w:color w:val="92D050"/>
          <w:sz w:val="20"/>
          <w:szCs w:val="20"/>
        </w:rPr>
      </w:pPr>
      <w:r w:rsidRPr="00BD5A7E">
        <w:rPr>
          <w:rFonts w:ascii="Arial" w:eastAsia="Times New Roman" w:hAnsi="Arial" w:cs="Arial"/>
          <w:b/>
          <w:sz w:val="20"/>
          <w:szCs w:val="20"/>
        </w:rPr>
        <w:t xml:space="preserve">Strengthening information within agro input supply chains </w:t>
      </w:r>
      <w:r w:rsidRPr="00BD5A7E">
        <w:rPr>
          <w:rFonts w:ascii="Arial" w:hAnsi="Arial" w:cs="Arial"/>
          <w:b/>
          <w:color w:val="92D050"/>
          <w:sz w:val="20"/>
          <w:szCs w:val="20"/>
        </w:rPr>
        <w:t xml:space="preserve"> </w:t>
      </w:r>
    </w:p>
    <w:p w:rsidR="00EE6D14" w:rsidRPr="00A60ABD" w:rsidRDefault="00BD5A7E" w:rsidP="00BD5A7E">
      <w:pPr>
        <w:spacing w:line="240" w:lineRule="auto"/>
        <w:rPr>
          <w:rFonts w:ascii="Arial" w:hAnsi="Arial" w:cs="Arial"/>
          <w:sz w:val="20"/>
          <w:szCs w:val="20"/>
        </w:rPr>
      </w:pPr>
      <w:r>
        <w:rPr>
          <w:rFonts w:ascii="Arial" w:eastAsia="Times New Roman" w:hAnsi="Arial" w:cs="Arial"/>
          <w:sz w:val="20"/>
          <w:szCs w:val="20"/>
        </w:rPr>
        <w:t>ASHC will scout for investments to support a strategic private sector dimension in technology dissemination in the inputs supply chain. Especially in relation to fertilizer and inoculant technologies – presented with in an ISFM context and highlighting good agricultural practices ASHC will also see how the burgeoning investment in youth agricultural sector initiatives can be given be used to promote ISFM opportunities related to the input supply chains.</w:t>
      </w:r>
    </w:p>
    <w:sectPr w:rsidR="00EE6D14" w:rsidRPr="00A60ABD" w:rsidSect="00512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48" w:rsidRDefault="00744F48" w:rsidP="00B7562F">
      <w:pPr>
        <w:spacing w:after="0" w:line="240" w:lineRule="auto"/>
      </w:pPr>
      <w:r>
        <w:separator/>
      </w:r>
    </w:p>
  </w:endnote>
  <w:endnote w:type="continuationSeparator" w:id="0">
    <w:p w:rsidR="00744F48" w:rsidRDefault="00744F48" w:rsidP="00B7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48" w:rsidRDefault="00744F48" w:rsidP="00B7562F">
      <w:pPr>
        <w:spacing w:after="0" w:line="240" w:lineRule="auto"/>
      </w:pPr>
      <w:r>
        <w:separator/>
      </w:r>
    </w:p>
  </w:footnote>
  <w:footnote w:type="continuationSeparator" w:id="0">
    <w:p w:rsidR="00744F48" w:rsidRDefault="00744F48" w:rsidP="00B7562F">
      <w:pPr>
        <w:spacing w:after="0" w:line="240" w:lineRule="auto"/>
      </w:pPr>
      <w:r>
        <w:continuationSeparator/>
      </w:r>
    </w:p>
  </w:footnote>
  <w:footnote w:id="1">
    <w:p w:rsidR="004B7001" w:rsidRPr="008D5224" w:rsidRDefault="004B7001" w:rsidP="007328C8">
      <w:pPr>
        <w:pStyle w:val="Default"/>
        <w:rPr>
          <w:rFonts w:ascii="Arial" w:hAnsi="Arial" w:cs="Arial"/>
          <w:color w:val="auto"/>
          <w:sz w:val="16"/>
          <w:szCs w:val="16"/>
        </w:rPr>
      </w:pPr>
      <w:r w:rsidRPr="008D5224">
        <w:rPr>
          <w:rStyle w:val="FootnoteReference"/>
          <w:rFonts w:ascii="Arial" w:hAnsi="Arial" w:cs="Arial"/>
          <w:color w:val="auto"/>
          <w:sz w:val="16"/>
          <w:szCs w:val="16"/>
        </w:rPr>
        <w:footnoteRef/>
      </w:r>
      <w:r w:rsidRPr="008D5224">
        <w:rPr>
          <w:rFonts w:ascii="Arial" w:hAnsi="Arial" w:cs="Arial"/>
          <w:color w:val="auto"/>
          <w:sz w:val="16"/>
          <w:szCs w:val="16"/>
        </w:rPr>
        <w:t xml:space="preserve">CIA.gov, (2015). </w:t>
      </w:r>
      <w:proofErr w:type="gramStart"/>
      <w:r w:rsidRPr="008D5224">
        <w:rPr>
          <w:rFonts w:ascii="Arial" w:hAnsi="Arial" w:cs="Arial"/>
          <w:color w:val="auto"/>
          <w:sz w:val="16"/>
          <w:szCs w:val="16"/>
        </w:rPr>
        <w:t xml:space="preserve">The World </w:t>
      </w:r>
      <w:proofErr w:type="spellStart"/>
      <w:r w:rsidRPr="008D5224">
        <w:rPr>
          <w:rFonts w:ascii="Arial" w:hAnsi="Arial" w:cs="Arial"/>
          <w:color w:val="auto"/>
          <w:sz w:val="16"/>
          <w:szCs w:val="16"/>
        </w:rPr>
        <w:t>Factbook</w:t>
      </w:r>
      <w:proofErr w:type="spellEnd"/>
      <w:r w:rsidRPr="008D5224">
        <w:rPr>
          <w:rFonts w:ascii="Arial" w:hAnsi="Arial" w:cs="Arial"/>
          <w:color w:val="auto"/>
          <w:sz w:val="16"/>
          <w:szCs w:val="16"/>
        </w:rPr>
        <w:t>.</w:t>
      </w:r>
      <w:proofErr w:type="gramEnd"/>
      <w:r w:rsidRPr="008D5224">
        <w:rPr>
          <w:rFonts w:ascii="Arial" w:hAnsi="Arial" w:cs="Arial"/>
          <w:color w:val="auto"/>
          <w:sz w:val="16"/>
          <w:szCs w:val="16"/>
        </w:rPr>
        <w:t xml:space="preserve"> [online] Available at: </w:t>
      </w:r>
      <w:hyperlink r:id="rId1" w:history="1">
        <w:r w:rsidRPr="008D5224">
          <w:rPr>
            <w:rStyle w:val="Hyperlink"/>
            <w:rFonts w:ascii="Arial" w:hAnsi="Arial" w:cs="Arial"/>
            <w:color w:val="auto"/>
            <w:sz w:val="16"/>
            <w:szCs w:val="16"/>
          </w:rPr>
          <w:t>https://www.cia.gov/library/publications/the-world-factbook/</w:t>
        </w:r>
      </w:hyperlink>
      <w:r w:rsidRPr="008D5224">
        <w:rPr>
          <w:rFonts w:ascii="Arial" w:hAnsi="Arial" w:cs="Arial"/>
          <w:color w:val="auto"/>
          <w:sz w:val="16"/>
          <w:szCs w:val="16"/>
        </w:rPr>
        <w:t xml:space="preserve"> [Accessed 13 Jan. 2015].</w:t>
      </w:r>
    </w:p>
  </w:footnote>
  <w:footnote w:id="2">
    <w:p w:rsidR="004B7001" w:rsidRPr="008D5224" w:rsidRDefault="004B7001" w:rsidP="007328C8">
      <w:pPr>
        <w:pStyle w:val="FootnoteText"/>
        <w:rPr>
          <w:rFonts w:ascii="Arial" w:hAnsi="Arial" w:cs="Arial"/>
          <w:sz w:val="16"/>
          <w:szCs w:val="16"/>
        </w:rPr>
      </w:pPr>
      <w:r w:rsidRPr="008D5224">
        <w:rPr>
          <w:rStyle w:val="FootnoteReference"/>
          <w:rFonts w:ascii="Arial" w:hAnsi="Arial" w:cs="Arial"/>
          <w:sz w:val="16"/>
          <w:szCs w:val="16"/>
        </w:rPr>
        <w:footnoteRef/>
      </w:r>
      <w:r w:rsidRPr="008D5224">
        <w:rPr>
          <w:rFonts w:ascii="Arial" w:hAnsi="Arial" w:cs="Arial"/>
          <w:sz w:val="16"/>
          <w:szCs w:val="16"/>
        </w:rPr>
        <w:t xml:space="preserve">Databank.worldbank.org, (2014). </w:t>
      </w:r>
      <w:proofErr w:type="gramStart"/>
      <w:r w:rsidRPr="008D5224">
        <w:rPr>
          <w:rFonts w:ascii="Arial" w:hAnsi="Arial" w:cs="Arial"/>
          <w:sz w:val="16"/>
          <w:szCs w:val="16"/>
        </w:rPr>
        <w:t xml:space="preserve">The World Bank </w:t>
      </w:r>
      <w:proofErr w:type="spellStart"/>
      <w:r w:rsidRPr="008D5224">
        <w:rPr>
          <w:rFonts w:ascii="Arial" w:hAnsi="Arial" w:cs="Arial"/>
          <w:sz w:val="16"/>
          <w:szCs w:val="16"/>
        </w:rPr>
        <w:t>DataBank</w:t>
      </w:r>
      <w:proofErr w:type="spellEnd"/>
      <w:r w:rsidRPr="008D5224">
        <w:rPr>
          <w:rFonts w:ascii="Arial" w:hAnsi="Arial" w:cs="Arial"/>
          <w:sz w:val="16"/>
          <w:szCs w:val="16"/>
        </w:rPr>
        <w:t>.</w:t>
      </w:r>
      <w:proofErr w:type="gramEnd"/>
      <w:r w:rsidRPr="008D5224">
        <w:rPr>
          <w:rFonts w:ascii="Arial" w:hAnsi="Arial" w:cs="Arial"/>
          <w:sz w:val="16"/>
          <w:szCs w:val="16"/>
        </w:rPr>
        <w:t xml:space="preserve"> [online] Available at: http://Databank.worldbank.org [Accessed 13 Jan. 2015]</w:t>
      </w:r>
    </w:p>
  </w:footnote>
  <w:footnote w:id="3">
    <w:p w:rsidR="004B7001" w:rsidRPr="007328C8" w:rsidRDefault="004B7001" w:rsidP="00A55A2C">
      <w:pPr>
        <w:pStyle w:val="Default"/>
        <w:rPr>
          <w:rFonts w:ascii="Arial" w:hAnsi="Arial" w:cs="Arial"/>
          <w:color w:val="auto"/>
          <w:sz w:val="16"/>
          <w:szCs w:val="16"/>
        </w:rPr>
      </w:pPr>
      <w:r w:rsidRPr="008D5224">
        <w:rPr>
          <w:rStyle w:val="FootnoteReference"/>
          <w:rFonts w:ascii="Arial" w:hAnsi="Arial" w:cs="Arial"/>
          <w:color w:val="auto"/>
          <w:sz w:val="16"/>
          <w:szCs w:val="16"/>
        </w:rPr>
        <w:footnoteRef/>
      </w:r>
      <w:r w:rsidRPr="008D5224">
        <w:rPr>
          <w:rFonts w:ascii="Arial" w:hAnsi="Arial" w:cs="Arial"/>
          <w:color w:val="auto"/>
          <w:sz w:val="16"/>
          <w:szCs w:val="16"/>
        </w:rPr>
        <w:t xml:space="preserve">FAO, FAO Statistical Yearbook 2014. [Online] Available at: </w:t>
      </w:r>
      <w:hyperlink r:id="rId2" w:history="1">
        <w:r w:rsidRPr="008D5224">
          <w:rPr>
            <w:rStyle w:val="Hyperlink"/>
            <w:rFonts w:ascii="Arial" w:hAnsi="Arial" w:cs="Arial"/>
            <w:color w:val="auto"/>
            <w:sz w:val="16"/>
            <w:szCs w:val="16"/>
          </w:rPr>
          <w:t>http://www.fao.org/economic/ess/ess-publications/ess-yearbook/en/</w:t>
        </w:r>
      </w:hyperlink>
      <w:r w:rsidRPr="008D5224">
        <w:rPr>
          <w:rFonts w:ascii="Arial" w:hAnsi="Arial" w:cs="Arial"/>
          <w:color w:val="auto"/>
          <w:sz w:val="16"/>
          <w:szCs w:val="16"/>
        </w:rPr>
        <w:t xml:space="preserve"> [Accessed 13 Jan 2015]</w:t>
      </w:r>
    </w:p>
  </w:footnote>
  <w:footnote w:id="4">
    <w:p w:rsidR="004B7001" w:rsidRPr="008D5224" w:rsidRDefault="004B7001">
      <w:pPr>
        <w:pStyle w:val="FootnoteText"/>
        <w:rPr>
          <w:rFonts w:ascii="Arial" w:hAnsi="Arial" w:cs="Arial"/>
          <w:sz w:val="16"/>
          <w:szCs w:val="16"/>
        </w:rPr>
      </w:pPr>
      <w:r w:rsidRPr="008D5224">
        <w:rPr>
          <w:rStyle w:val="FootnoteReference"/>
          <w:rFonts w:ascii="Arial" w:hAnsi="Arial" w:cs="Arial"/>
          <w:sz w:val="16"/>
          <w:szCs w:val="16"/>
        </w:rPr>
        <w:footnoteRef/>
      </w:r>
      <w:r w:rsidRPr="008D5224">
        <w:rPr>
          <w:rFonts w:ascii="Arial" w:hAnsi="Arial" w:cs="Arial"/>
          <w:sz w:val="16"/>
          <w:szCs w:val="16"/>
          <w:lang w:val="en-GB"/>
        </w:rPr>
        <w:t>No. of smallholder households = (population * %rural) / Average rural family size</w:t>
      </w:r>
    </w:p>
  </w:footnote>
  <w:footnote w:id="5">
    <w:p w:rsidR="004B7001" w:rsidRPr="008D5224" w:rsidRDefault="004B7001">
      <w:pPr>
        <w:pStyle w:val="FootnoteText"/>
        <w:rPr>
          <w:rFonts w:ascii="Arial" w:hAnsi="Arial" w:cs="Arial"/>
          <w:sz w:val="16"/>
          <w:szCs w:val="16"/>
        </w:rPr>
      </w:pPr>
      <w:r w:rsidRPr="008D5224">
        <w:rPr>
          <w:rStyle w:val="FootnoteReference"/>
          <w:rFonts w:ascii="Arial" w:hAnsi="Arial" w:cs="Arial"/>
          <w:sz w:val="16"/>
          <w:szCs w:val="16"/>
        </w:rPr>
        <w:footnoteRef/>
      </w:r>
      <w:r w:rsidRPr="008D5224">
        <w:rPr>
          <w:rFonts w:ascii="Arial" w:hAnsi="Arial" w:cs="Arial"/>
          <w:sz w:val="16"/>
          <w:szCs w:val="16"/>
        </w:rPr>
        <w:t xml:space="preserve"> http://data.worldbank.org/indicator/AG.CON.FERT.ZS/countries</w:t>
      </w:r>
    </w:p>
  </w:footnote>
  <w:footnote w:id="6">
    <w:p w:rsidR="004B7001" w:rsidRPr="008D5224" w:rsidRDefault="004B7001" w:rsidP="002659E6">
      <w:pPr>
        <w:pStyle w:val="FootnoteText"/>
        <w:rPr>
          <w:rFonts w:ascii="Arial" w:hAnsi="Arial" w:cs="Arial"/>
          <w:sz w:val="16"/>
          <w:szCs w:val="16"/>
        </w:rPr>
      </w:pPr>
      <w:r w:rsidRPr="008D5224">
        <w:rPr>
          <w:rStyle w:val="FootnoteReference"/>
          <w:rFonts w:ascii="Arial" w:hAnsi="Arial" w:cs="Arial"/>
          <w:sz w:val="16"/>
          <w:szCs w:val="16"/>
        </w:rPr>
        <w:footnoteRef/>
      </w:r>
      <w:r w:rsidRPr="008D5224">
        <w:rPr>
          <w:rFonts w:ascii="Arial" w:hAnsi="Arial" w:cs="Arial"/>
          <w:sz w:val="16"/>
          <w:szCs w:val="16"/>
        </w:rPr>
        <w:t xml:space="preserve"> http://www.nigeriahcottawa.ca/newsitem/re-awakening-agriculture-production-in-nigeria</w:t>
      </w:r>
    </w:p>
  </w:footnote>
  <w:footnote w:id="7">
    <w:p w:rsidR="004B7001" w:rsidRPr="001637FD" w:rsidRDefault="004B7001" w:rsidP="002659E6">
      <w:pPr>
        <w:pStyle w:val="FootnoteText"/>
        <w:rPr>
          <w:rFonts w:ascii="Arial" w:hAnsi="Arial" w:cs="Arial"/>
          <w:sz w:val="16"/>
          <w:szCs w:val="16"/>
        </w:rPr>
      </w:pPr>
      <w:r w:rsidRPr="001637FD">
        <w:rPr>
          <w:rStyle w:val="FootnoteReference"/>
          <w:rFonts w:ascii="Arial" w:hAnsi="Arial" w:cs="Arial"/>
          <w:sz w:val="16"/>
          <w:szCs w:val="16"/>
        </w:rPr>
        <w:footnoteRef/>
      </w:r>
      <w:r w:rsidRPr="001637FD">
        <w:rPr>
          <w:rFonts w:ascii="Arial" w:hAnsi="Arial" w:cs="Arial"/>
          <w:sz w:val="16"/>
          <w:szCs w:val="16"/>
        </w:rPr>
        <w:t xml:space="preserve"> FAOSTAT, FAO of the UN, Accessed on February 7, 2014. http://faostat.fao.org/site/612/default.aspx#ancor</w:t>
      </w:r>
    </w:p>
  </w:footnote>
  <w:footnote w:id="8">
    <w:p w:rsidR="004B7001" w:rsidRPr="001637FD" w:rsidRDefault="004B7001" w:rsidP="002659E6">
      <w:pPr>
        <w:pStyle w:val="FootnoteText"/>
        <w:rPr>
          <w:rFonts w:ascii="Arial" w:hAnsi="Arial" w:cs="Arial"/>
          <w:sz w:val="16"/>
          <w:szCs w:val="16"/>
        </w:rPr>
      </w:pPr>
      <w:r w:rsidRPr="001637FD">
        <w:rPr>
          <w:rStyle w:val="FootnoteReference"/>
          <w:rFonts w:ascii="Arial" w:hAnsi="Arial" w:cs="Arial"/>
          <w:sz w:val="16"/>
          <w:szCs w:val="16"/>
        </w:rPr>
        <w:footnoteRef/>
      </w:r>
      <w:r w:rsidRPr="001637FD">
        <w:rPr>
          <w:rFonts w:ascii="Arial" w:hAnsi="Arial" w:cs="Arial"/>
          <w:sz w:val="16"/>
          <w:szCs w:val="16"/>
        </w:rPr>
        <w:t xml:space="preserve"> http://www.ifpri.org/sites/default/files/publications/nssppn34.pdf</w:t>
      </w:r>
    </w:p>
  </w:footnote>
  <w:footnote w:id="9">
    <w:p w:rsidR="004B7001" w:rsidRDefault="004B7001" w:rsidP="002659E6">
      <w:pPr>
        <w:pStyle w:val="FootnoteText"/>
      </w:pPr>
      <w:r w:rsidRPr="001637FD">
        <w:rPr>
          <w:rStyle w:val="FootnoteReference"/>
          <w:rFonts w:ascii="Arial" w:hAnsi="Arial" w:cs="Arial"/>
          <w:sz w:val="16"/>
          <w:szCs w:val="16"/>
        </w:rPr>
        <w:footnoteRef/>
      </w:r>
      <w:proofErr w:type="spellStart"/>
      <w:r w:rsidRPr="001637FD">
        <w:rPr>
          <w:rFonts w:ascii="Arial" w:hAnsi="Arial" w:cs="Arial"/>
          <w:sz w:val="16"/>
          <w:szCs w:val="16"/>
        </w:rPr>
        <w:t>Babatunde</w:t>
      </w:r>
      <w:proofErr w:type="spellEnd"/>
      <w:r w:rsidRPr="001637FD">
        <w:rPr>
          <w:rFonts w:ascii="Arial" w:hAnsi="Arial" w:cs="Arial"/>
          <w:sz w:val="16"/>
          <w:szCs w:val="16"/>
        </w:rPr>
        <w:t xml:space="preserve">, </w:t>
      </w:r>
      <w:proofErr w:type="spellStart"/>
      <w:r w:rsidRPr="001637FD">
        <w:rPr>
          <w:rFonts w:ascii="Arial" w:hAnsi="Arial" w:cs="Arial"/>
          <w:sz w:val="16"/>
          <w:szCs w:val="16"/>
        </w:rPr>
        <w:t>Jimoh</w:t>
      </w:r>
      <w:proofErr w:type="spellEnd"/>
      <w:r w:rsidRPr="001637FD">
        <w:rPr>
          <w:rFonts w:ascii="Arial" w:hAnsi="Arial" w:cs="Arial"/>
          <w:sz w:val="16"/>
          <w:szCs w:val="16"/>
        </w:rPr>
        <w:t xml:space="preserve">: “Poor yield in agriculture traced to low use of fertilizers in Nigeria”; </w:t>
      </w:r>
      <w:proofErr w:type="spellStart"/>
      <w:r w:rsidRPr="001637FD">
        <w:rPr>
          <w:rFonts w:ascii="Arial" w:hAnsi="Arial" w:cs="Arial"/>
          <w:i/>
          <w:sz w:val="16"/>
          <w:szCs w:val="16"/>
        </w:rPr>
        <w:t>Vangard</w:t>
      </w:r>
      <w:proofErr w:type="spellEnd"/>
      <w:r w:rsidRPr="001637FD">
        <w:rPr>
          <w:rFonts w:ascii="Arial" w:hAnsi="Arial" w:cs="Arial"/>
          <w:sz w:val="16"/>
          <w:szCs w:val="16"/>
        </w:rPr>
        <w:t xml:space="preserve"> Newspaper, 20 June 2011. URL: </w:t>
      </w:r>
      <w:hyperlink r:id="rId3" w:history="1">
        <w:r w:rsidRPr="001637FD">
          <w:rPr>
            <w:rStyle w:val="Hyperlink"/>
            <w:rFonts w:ascii="Arial" w:hAnsi="Arial" w:cs="Arial"/>
            <w:color w:val="auto"/>
            <w:sz w:val="16"/>
            <w:szCs w:val="16"/>
          </w:rPr>
          <w:t>http://www.vanguardngr.com/2011/06/poor-yield-in-agriculture-traced-to-low-use-of-fertilizers-in-nigeria/</w:t>
        </w:r>
      </w:hyperlink>
    </w:p>
  </w:footnote>
  <w:footnote w:id="10">
    <w:p w:rsidR="004B7001" w:rsidRPr="003D6171" w:rsidRDefault="004B7001" w:rsidP="007328C8">
      <w:pPr>
        <w:pStyle w:val="FootnoteText"/>
        <w:rPr>
          <w:rFonts w:ascii="Arial" w:hAnsi="Arial" w:cs="Arial"/>
          <w:sz w:val="16"/>
          <w:szCs w:val="16"/>
        </w:rPr>
      </w:pPr>
      <w:r w:rsidRPr="003D6171">
        <w:rPr>
          <w:rStyle w:val="FootnoteReference"/>
          <w:rFonts w:ascii="Arial" w:hAnsi="Arial" w:cs="Arial"/>
          <w:sz w:val="16"/>
          <w:szCs w:val="16"/>
        </w:rPr>
        <w:footnoteRef/>
      </w:r>
      <w:r w:rsidRPr="003D6171">
        <w:rPr>
          <w:rFonts w:ascii="Arial" w:hAnsi="Arial" w:cs="Arial"/>
          <w:sz w:val="16"/>
          <w:szCs w:val="16"/>
        </w:rPr>
        <w:t xml:space="preserve"> http://www.ifpri.org/sites/default/files/publications/nsspwp19_1.pdf</w:t>
      </w:r>
    </w:p>
  </w:footnote>
  <w:footnote w:id="11">
    <w:p w:rsidR="004B7001" w:rsidRPr="003D6171" w:rsidRDefault="004B7001" w:rsidP="007328C8">
      <w:pPr>
        <w:pStyle w:val="FootnoteText"/>
        <w:rPr>
          <w:rFonts w:ascii="Arial" w:hAnsi="Arial" w:cs="Arial"/>
          <w:sz w:val="16"/>
          <w:szCs w:val="16"/>
        </w:rPr>
      </w:pPr>
      <w:r w:rsidRPr="003D6171">
        <w:rPr>
          <w:rStyle w:val="FootnoteReference"/>
          <w:rFonts w:ascii="Arial" w:hAnsi="Arial" w:cs="Arial"/>
          <w:sz w:val="16"/>
          <w:szCs w:val="16"/>
        </w:rPr>
        <w:footnoteRef/>
      </w:r>
      <w:r w:rsidRPr="003D6171">
        <w:rPr>
          <w:rStyle w:val="FootnoteReference"/>
          <w:rFonts w:ascii="Arial" w:hAnsi="Arial" w:cs="Arial"/>
          <w:sz w:val="16"/>
          <w:szCs w:val="16"/>
        </w:rPr>
        <w:footnoteRef/>
      </w:r>
      <w:r w:rsidRPr="003D6171">
        <w:rPr>
          <w:rFonts w:ascii="Arial" w:hAnsi="Arial" w:cs="Arial"/>
          <w:sz w:val="16"/>
          <w:szCs w:val="16"/>
        </w:rPr>
        <w:t>http://www.emrc.be/documents/document/20121205120841-agri2012-special_session-tony_bello-min_agric_nigeria.pdf</w:t>
      </w:r>
    </w:p>
  </w:footnote>
  <w:footnote w:id="12">
    <w:p w:rsidR="004B7001" w:rsidRPr="007328C8" w:rsidRDefault="004B7001" w:rsidP="007328C8">
      <w:pPr>
        <w:pStyle w:val="FootnoteText"/>
        <w:rPr>
          <w:rFonts w:ascii="Arial" w:hAnsi="Arial" w:cs="Arial"/>
          <w:sz w:val="16"/>
          <w:szCs w:val="16"/>
        </w:rPr>
      </w:pPr>
      <w:r w:rsidRPr="003D6171">
        <w:rPr>
          <w:rStyle w:val="FootnoteReference"/>
          <w:rFonts w:ascii="Arial" w:hAnsi="Arial" w:cs="Arial"/>
          <w:sz w:val="16"/>
          <w:szCs w:val="16"/>
        </w:rPr>
        <w:footnoteRef/>
      </w:r>
      <w:proofErr w:type="spellStart"/>
      <w:r w:rsidRPr="003D6171">
        <w:rPr>
          <w:rFonts w:ascii="Arial" w:hAnsi="Arial" w:cs="Arial"/>
          <w:sz w:val="16"/>
          <w:szCs w:val="16"/>
        </w:rPr>
        <w:t>Osho</w:t>
      </w:r>
      <w:proofErr w:type="spellEnd"/>
      <w:r w:rsidRPr="003D6171">
        <w:rPr>
          <w:rFonts w:ascii="Arial" w:hAnsi="Arial" w:cs="Arial"/>
          <w:sz w:val="16"/>
          <w:szCs w:val="16"/>
        </w:rPr>
        <w:t xml:space="preserve">, A.O. (2014) Fertilizer and Food Security/Agricultural Production in Nigeria. </w:t>
      </w:r>
      <w:proofErr w:type="gramStart"/>
      <w:r w:rsidRPr="003D6171">
        <w:rPr>
          <w:rFonts w:ascii="Arial" w:hAnsi="Arial" w:cs="Arial"/>
          <w:sz w:val="16"/>
          <w:szCs w:val="16"/>
        </w:rPr>
        <w:t>A presentation by the Director of Federal Fertilizer Department, Abuja.</w:t>
      </w:r>
      <w:proofErr w:type="gramEnd"/>
      <w:r w:rsidRPr="003D6171">
        <w:rPr>
          <w:rFonts w:ascii="Arial" w:hAnsi="Arial" w:cs="Arial"/>
          <w:sz w:val="16"/>
          <w:szCs w:val="16"/>
        </w:rPr>
        <w:t xml:space="preserve"> URL: </w:t>
      </w:r>
      <w:hyperlink r:id="rId4" w:history="1">
        <w:r w:rsidRPr="003D6171">
          <w:rPr>
            <w:rStyle w:val="Hyperlink"/>
            <w:rFonts w:ascii="Arial" w:hAnsi="Arial" w:cs="Arial"/>
            <w:color w:val="auto"/>
            <w:sz w:val="16"/>
            <w:szCs w:val="16"/>
          </w:rPr>
          <w:t>http://fsg.afre.msu.edu/gisaia/Osho_Fertilizer_and_Food_Security.pdf</w:t>
        </w:r>
      </w:hyperlink>
    </w:p>
  </w:footnote>
  <w:footnote w:id="13">
    <w:p w:rsidR="004B7001" w:rsidRPr="001E5DC6" w:rsidRDefault="004B7001">
      <w:pPr>
        <w:pStyle w:val="FootnoteText"/>
        <w:rPr>
          <w:rFonts w:ascii="Arial" w:hAnsi="Arial" w:cs="Arial"/>
          <w:sz w:val="16"/>
          <w:szCs w:val="16"/>
          <w:lang w:val="en-GB"/>
        </w:rPr>
      </w:pPr>
      <w:r w:rsidRPr="001E5DC6">
        <w:rPr>
          <w:rStyle w:val="FootnoteReference"/>
          <w:rFonts w:ascii="Arial" w:hAnsi="Arial" w:cs="Arial"/>
          <w:sz w:val="16"/>
          <w:szCs w:val="16"/>
        </w:rPr>
        <w:footnoteRef/>
      </w:r>
      <w:r w:rsidRPr="001E5DC6">
        <w:rPr>
          <w:rFonts w:ascii="Arial" w:hAnsi="Arial" w:cs="Arial"/>
          <w:sz w:val="16"/>
          <w:szCs w:val="16"/>
          <w:lang w:val="en-GB"/>
        </w:rPr>
        <w:t xml:space="preserve"> Personal communication, </w:t>
      </w:r>
      <w:proofErr w:type="spellStart"/>
      <w:r w:rsidRPr="001E5DC6">
        <w:rPr>
          <w:rFonts w:ascii="Arial" w:hAnsi="Arial" w:cs="Arial"/>
          <w:sz w:val="16"/>
          <w:szCs w:val="16"/>
          <w:lang w:val="en-GB"/>
        </w:rPr>
        <w:t>Utiang</w:t>
      </w:r>
      <w:proofErr w:type="spellEnd"/>
      <w:r w:rsidRPr="001E5DC6">
        <w:rPr>
          <w:rFonts w:ascii="Arial" w:hAnsi="Arial" w:cs="Arial"/>
          <w:sz w:val="16"/>
          <w:szCs w:val="16"/>
          <w:lang w:val="en-GB"/>
        </w:rPr>
        <w:t xml:space="preserve"> </w:t>
      </w:r>
      <w:proofErr w:type="spellStart"/>
      <w:r w:rsidRPr="001E5DC6">
        <w:rPr>
          <w:rFonts w:ascii="Arial" w:hAnsi="Arial" w:cs="Arial"/>
          <w:sz w:val="16"/>
          <w:szCs w:val="16"/>
          <w:lang w:val="en-GB"/>
        </w:rPr>
        <w:t>Ugbe</w:t>
      </w:r>
      <w:proofErr w:type="spellEnd"/>
      <w:r w:rsidRPr="001E5DC6">
        <w:rPr>
          <w:rFonts w:ascii="Arial" w:hAnsi="Arial" w:cs="Arial"/>
          <w:sz w:val="16"/>
          <w:szCs w:val="16"/>
          <w:lang w:val="en-GB"/>
        </w:rPr>
        <w:t xml:space="preserve"> (AHSC consultant), based on 2015 data collected from 20 of the 36 states.</w:t>
      </w:r>
    </w:p>
  </w:footnote>
  <w:footnote w:id="14">
    <w:p w:rsidR="004B7001" w:rsidRPr="001E5DC6" w:rsidRDefault="004B7001" w:rsidP="0069286C">
      <w:pPr>
        <w:pStyle w:val="FootnoteText"/>
        <w:jc w:val="both"/>
        <w:rPr>
          <w:rFonts w:ascii="Arial" w:hAnsi="Arial" w:cs="Arial"/>
          <w:sz w:val="16"/>
          <w:szCs w:val="16"/>
        </w:rPr>
      </w:pPr>
      <w:r w:rsidRPr="001E5DC6">
        <w:rPr>
          <w:rStyle w:val="FootnoteReference"/>
          <w:rFonts w:ascii="Arial" w:hAnsi="Arial" w:cs="Arial"/>
          <w:sz w:val="16"/>
          <w:szCs w:val="16"/>
        </w:rPr>
        <w:footnoteRef/>
      </w:r>
      <w:r w:rsidRPr="001E5DC6">
        <w:rPr>
          <w:rFonts w:ascii="Arial" w:hAnsi="Arial" w:cs="Arial"/>
          <w:sz w:val="16"/>
          <w:szCs w:val="16"/>
        </w:rPr>
        <w:t xml:space="preserve"> World Bank (1997) Rural Development: From Vision to Action. Sector Strategy, Environmentally and Socially Sustainable development Studies and Monographs. Series 12. Washington, D.C.</w:t>
      </w:r>
    </w:p>
  </w:footnote>
  <w:footnote w:id="15">
    <w:p w:rsidR="004B7001" w:rsidRPr="001E5DC6" w:rsidRDefault="004B7001" w:rsidP="0069286C">
      <w:pPr>
        <w:pStyle w:val="FootnoteText"/>
        <w:jc w:val="both"/>
        <w:rPr>
          <w:rFonts w:ascii="Arial" w:hAnsi="Arial" w:cs="Arial"/>
          <w:sz w:val="16"/>
          <w:szCs w:val="16"/>
        </w:rPr>
      </w:pPr>
      <w:r w:rsidRPr="001E5DC6">
        <w:rPr>
          <w:rStyle w:val="FootnoteReference"/>
          <w:rFonts w:ascii="Arial" w:hAnsi="Arial" w:cs="Arial"/>
          <w:sz w:val="16"/>
          <w:szCs w:val="16"/>
        </w:rPr>
        <w:footnoteRef/>
      </w:r>
      <w:proofErr w:type="spellStart"/>
      <w:r w:rsidRPr="001E5DC6">
        <w:rPr>
          <w:rFonts w:ascii="Arial" w:hAnsi="Arial" w:cs="Arial"/>
          <w:sz w:val="16"/>
          <w:szCs w:val="16"/>
        </w:rPr>
        <w:t>Arokoyo</w:t>
      </w:r>
      <w:proofErr w:type="spellEnd"/>
      <w:r w:rsidRPr="001E5DC6">
        <w:rPr>
          <w:rFonts w:ascii="Arial" w:hAnsi="Arial" w:cs="Arial"/>
          <w:sz w:val="16"/>
          <w:szCs w:val="16"/>
        </w:rPr>
        <w:t xml:space="preserve">, T. (2014) Experiences and Lessons from the Agricultural Extension and Advisory Services of Selected Agencies and Private Service Providers in </w:t>
      </w:r>
      <w:proofErr w:type="spellStart"/>
      <w:r w:rsidRPr="001E5DC6">
        <w:rPr>
          <w:rFonts w:ascii="Arial" w:hAnsi="Arial" w:cs="Arial"/>
          <w:sz w:val="16"/>
          <w:szCs w:val="16"/>
        </w:rPr>
        <w:t>Nigeria.West</w:t>
      </w:r>
      <w:proofErr w:type="spellEnd"/>
      <w:r w:rsidRPr="001E5DC6">
        <w:rPr>
          <w:rFonts w:ascii="Arial" w:hAnsi="Arial" w:cs="Arial"/>
          <w:sz w:val="16"/>
          <w:szCs w:val="16"/>
        </w:rPr>
        <w:t xml:space="preserve"> Africa Agricultural Productivity </w:t>
      </w:r>
      <w:proofErr w:type="spellStart"/>
      <w:r w:rsidRPr="001E5DC6">
        <w:rPr>
          <w:rFonts w:ascii="Arial" w:hAnsi="Arial" w:cs="Arial"/>
          <w:sz w:val="16"/>
          <w:szCs w:val="16"/>
        </w:rPr>
        <w:t>Programme</w:t>
      </w:r>
      <w:proofErr w:type="spellEnd"/>
      <w:r w:rsidRPr="001E5DC6">
        <w:rPr>
          <w:rFonts w:ascii="Arial" w:hAnsi="Arial" w:cs="Arial"/>
          <w:sz w:val="16"/>
          <w:szCs w:val="16"/>
        </w:rPr>
        <w:t xml:space="preserve"> (WAAPP), Nigeria.</w:t>
      </w:r>
    </w:p>
  </w:footnote>
  <w:footnote w:id="16">
    <w:p w:rsidR="004B7001" w:rsidRPr="001E5DC6" w:rsidRDefault="004B7001" w:rsidP="0069286C">
      <w:pPr>
        <w:pStyle w:val="FootnoteText"/>
        <w:rPr>
          <w:rFonts w:ascii="Arial" w:hAnsi="Arial" w:cs="Arial"/>
          <w:sz w:val="16"/>
          <w:szCs w:val="16"/>
        </w:rPr>
      </w:pPr>
      <w:r w:rsidRPr="001E5DC6">
        <w:rPr>
          <w:rStyle w:val="FootnoteReference"/>
          <w:rFonts w:ascii="Arial" w:hAnsi="Arial" w:cs="Arial"/>
          <w:sz w:val="16"/>
          <w:szCs w:val="16"/>
        </w:rPr>
        <w:footnoteRef/>
      </w:r>
      <w:r w:rsidRPr="001E5DC6">
        <w:rPr>
          <w:rFonts w:ascii="Arial" w:hAnsi="Arial" w:cs="Arial"/>
          <w:sz w:val="16"/>
          <w:szCs w:val="16"/>
        </w:rPr>
        <w:t xml:space="preserve"> Ibid. p. 19</w:t>
      </w:r>
    </w:p>
  </w:footnote>
  <w:footnote w:id="17">
    <w:p w:rsidR="004B7001" w:rsidRPr="001E5DC6" w:rsidRDefault="004B7001" w:rsidP="001E5DC6">
      <w:pPr>
        <w:pStyle w:val="FootnoteText"/>
        <w:jc w:val="both"/>
        <w:rPr>
          <w:rFonts w:ascii="Arial" w:hAnsi="Arial" w:cs="Arial"/>
          <w:sz w:val="16"/>
          <w:szCs w:val="16"/>
        </w:rPr>
      </w:pPr>
      <w:r w:rsidRPr="001E5DC6">
        <w:rPr>
          <w:rStyle w:val="FootnoteReference"/>
          <w:rFonts w:ascii="Arial" w:hAnsi="Arial" w:cs="Arial"/>
          <w:sz w:val="16"/>
          <w:szCs w:val="16"/>
        </w:rPr>
        <w:footnoteRef/>
      </w:r>
      <w:r w:rsidRPr="001E5DC6">
        <w:rPr>
          <w:rFonts w:ascii="Arial" w:hAnsi="Arial" w:cs="Arial"/>
          <w:sz w:val="16"/>
          <w:szCs w:val="16"/>
        </w:rPr>
        <w:t xml:space="preserve"> West Africa Agricultural Productivity </w:t>
      </w:r>
      <w:proofErr w:type="spellStart"/>
      <w:r w:rsidRPr="001E5DC6">
        <w:rPr>
          <w:rFonts w:ascii="Arial" w:hAnsi="Arial" w:cs="Arial"/>
          <w:sz w:val="16"/>
          <w:szCs w:val="16"/>
        </w:rPr>
        <w:t>Programme</w:t>
      </w:r>
      <w:proofErr w:type="spellEnd"/>
      <w:r w:rsidRPr="001E5DC6">
        <w:rPr>
          <w:rFonts w:ascii="Arial" w:hAnsi="Arial" w:cs="Arial"/>
          <w:sz w:val="16"/>
          <w:szCs w:val="16"/>
        </w:rPr>
        <w:t xml:space="preserve"> (WAAPP). WB Mission Support Report Nov. 2014. </w:t>
      </w:r>
      <w:hyperlink r:id="rId5" w:history="1">
        <w:r w:rsidRPr="001E5DC6">
          <w:rPr>
            <w:rStyle w:val="Hyperlink"/>
            <w:rFonts w:ascii="Arial" w:hAnsi="Arial" w:cs="Arial"/>
            <w:color w:val="auto"/>
            <w:sz w:val="16"/>
            <w:szCs w:val="16"/>
          </w:rPr>
          <w:t>www.waapp.ng.gov</w:t>
        </w:r>
      </w:hyperlink>
      <w:r w:rsidRPr="001E5DC6">
        <w:rPr>
          <w:rFonts w:ascii="Arial" w:hAnsi="Arial" w:cs="Arial"/>
          <w:sz w:val="16"/>
          <w:szCs w:val="16"/>
        </w:rPr>
        <w:t xml:space="preserve"> </w:t>
      </w:r>
    </w:p>
  </w:footnote>
  <w:footnote w:id="18">
    <w:p w:rsidR="004B7001" w:rsidRDefault="004B7001" w:rsidP="001E5DC6">
      <w:pPr>
        <w:pStyle w:val="FootnoteText"/>
        <w:jc w:val="both"/>
      </w:pPr>
      <w:r w:rsidRPr="001E5DC6">
        <w:rPr>
          <w:rStyle w:val="FootnoteReference"/>
          <w:rFonts w:ascii="Arial" w:hAnsi="Arial" w:cs="Arial"/>
          <w:sz w:val="16"/>
          <w:szCs w:val="16"/>
        </w:rPr>
        <w:footnoteRef/>
      </w:r>
      <w:r w:rsidRPr="001E5DC6">
        <w:rPr>
          <w:rFonts w:ascii="Arial" w:hAnsi="Arial" w:cs="Arial"/>
          <w:sz w:val="16"/>
          <w:szCs w:val="16"/>
        </w:rPr>
        <w:t xml:space="preserve"> “Maximizing Agricultural Revenue in Key Enterprises in Targeted States” MARKETS II, USAID-Nigeria. </w:t>
      </w:r>
      <w:hyperlink r:id="rId6" w:history="1">
        <w:r w:rsidRPr="001E5DC6">
          <w:rPr>
            <w:rStyle w:val="Hyperlink"/>
            <w:rFonts w:ascii="Arial" w:hAnsi="Arial" w:cs="Arial"/>
            <w:color w:val="auto"/>
            <w:sz w:val="16"/>
            <w:szCs w:val="16"/>
          </w:rPr>
          <w:t>www.nigeriamarkets.org</w:t>
        </w:r>
      </w:hyperlink>
      <w:r>
        <w:rPr>
          <w:rFonts w:ascii="Arial Narrow" w:hAnsi="Arial Narrow"/>
        </w:rPr>
        <w:t xml:space="preserve"> </w:t>
      </w:r>
    </w:p>
  </w:footnote>
  <w:footnote w:id="19">
    <w:p w:rsidR="004B7001" w:rsidRPr="00120E26" w:rsidRDefault="004B7001" w:rsidP="001E5DC6">
      <w:pPr>
        <w:pStyle w:val="FootnoteText"/>
        <w:rPr>
          <w:rFonts w:ascii="Arial" w:hAnsi="Arial" w:cs="Arial"/>
          <w:sz w:val="16"/>
          <w:szCs w:val="16"/>
        </w:rPr>
      </w:pPr>
      <w:r w:rsidRPr="00120E26">
        <w:rPr>
          <w:rStyle w:val="FootnoteReference"/>
          <w:rFonts w:ascii="Arial" w:hAnsi="Arial" w:cs="Arial"/>
          <w:sz w:val="16"/>
          <w:szCs w:val="16"/>
        </w:rPr>
        <w:footnoteRef/>
      </w:r>
      <w:r w:rsidRPr="00120E26">
        <w:rPr>
          <w:rFonts w:ascii="Arial" w:hAnsi="Arial" w:cs="Arial"/>
          <w:sz w:val="16"/>
          <w:szCs w:val="16"/>
        </w:rPr>
        <w:t xml:space="preserve">  </w:t>
      </w:r>
      <w:proofErr w:type="spellStart"/>
      <w:proofErr w:type="gramStart"/>
      <w:r w:rsidRPr="00120E26">
        <w:rPr>
          <w:rFonts w:ascii="Arial" w:hAnsi="Arial" w:cs="Arial"/>
          <w:sz w:val="16"/>
          <w:szCs w:val="16"/>
        </w:rPr>
        <w:t>Arokoyo</w:t>
      </w:r>
      <w:proofErr w:type="spellEnd"/>
      <w:r w:rsidRPr="00120E26">
        <w:rPr>
          <w:rFonts w:ascii="Arial" w:hAnsi="Arial" w:cs="Arial"/>
          <w:sz w:val="16"/>
          <w:szCs w:val="16"/>
        </w:rPr>
        <w:t>, T. (2014) Experiences and Lessons from the Agricultural Extension and Advisory Services of Selected Agencies and   Private Service Providers in Nigeria.</w:t>
      </w:r>
      <w:proofErr w:type="gramEnd"/>
      <w:r w:rsidRPr="00120E26">
        <w:rPr>
          <w:rFonts w:ascii="Arial" w:hAnsi="Arial" w:cs="Arial"/>
          <w:sz w:val="16"/>
          <w:szCs w:val="16"/>
        </w:rPr>
        <w:t xml:space="preserve"> West Africa Agricultural Productivity </w:t>
      </w:r>
      <w:proofErr w:type="spellStart"/>
      <w:r w:rsidRPr="00120E26">
        <w:rPr>
          <w:rFonts w:ascii="Arial" w:hAnsi="Arial" w:cs="Arial"/>
          <w:sz w:val="16"/>
          <w:szCs w:val="16"/>
        </w:rPr>
        <w:t>Programme</w:t>
      </w:r>
      <w:proofErr w:type="spellEnd"/>
      <w:r w:rsidRPr="00120E26">
        <w:rPr>
          <w:rFonts w:ascii="Arial" w:hAnsi="Arial" w:cs="Arial"/>
          <w:sz w:val="16"/>
          <w:szCs w:val="16"/>
        </w:rPr>
        <w:t xml:space="preserve"> (WAAPP), Nigeria pp. 27-32</w:t>
      </w:r>
    </w:p>
  </w:footnote>
  <w:footnote w:id="20">
    <w:p w:rsidR="004B7001" w:rsidRPr="00120E26" w:rsidRDefault="004B7001">
      <w:pPr>
        <w:pStyle w:val="FootnoteText"/>
        <w:rPr>
          <w:rFonts w:ascii="Arial" w:hAnsi="Arial" w:cs="Arial"/>
          <w:sz w:val="16"/>
          <w:szCs w:val="16"/>
        </w:rPr>
      </w:pPr>
      <w:r w:rsidRPr="00120E26">
        <w:rPr>
          <w:rStyle w:val="FootnoteReference"/>
          <w:rFonts w:ascii="Arial" w:hAnsi="Arial" w:cs="Arial"/>
          <w:sz w:val="16"/>
          <w:szCs w:val="16"/>
        </w:rPr>
        <w:footnoteRef/>
      </w:r>
      <w:r w:rsidRPr="00120E26">
        <w:rPr>
          <w:rFonts w:ascii="Arial" w:hAnsi="Arial" w:cs="Arial"/>
          <w:sz w:val="16"/>
          <w:szCs w:val="16"/>
        </w:rPr>
        <w:t xml:space="preserve">Databank.worldbank.org, (2014). </w:t>
      </w:r>
      <w:proofErr w:type="gramStart"/>
      <w:r w:rsidRPr="00120E26">
        <w:rPr>
          <w:rFonts w:ascii="Arial" w:hAnsi="Arial" w:cs="Arial"/>
          <w:sz w:val="16"/>
          <w:szCs w:val="16"/>
        </w:rPr>
        <w:t xml:space="preserve">The World Bank </w:t>
      </w:r>
      <w:proofErr w:type="spellStart"/>
      <w:r w:rsidRPr="00120E26">
        <w:rPr>
          <w:rFonts w:ascii="Arial" w:hAnsi="Arial" w:cs="Arial"/>
          <w:sz w:val="16"/>
          <w:szCs w:val="16"/>
        </w:rPr>
        <w:t>DataBank</w:t>
      </w:r>
      <w:proofErr w:type="spellEnd"/>
      <w:r w:rsidRPr="00120E26">
        <w:rPr>
          <w:rFonts w:ascii="Arial" w:hAnsi="Arial" w:cs="Arial"/>
          <w:sz w:val="16"/>
          <w:szCs w:val="16"/>
        </w:rPr>
        <w:t>.</w:t>
      </w:r>
      <w:proofErr w:type="gramEnd"/>
      <w:r w:rsidRPr="00120E26">
        <w:rPr>
          <w:rFonts w:ascii="Arial" w:hAnsi="Arial" w:cs="Arial"/>
          <w:sz w:val="16"/>
          <w:szCs w:val="16"/>
        </w:rPr>
        <w:t xml:space="preserve"> [online] Available at: </w:t>
      </w:r>
      <w:hyperlink r:id="rId7" w:history="1">
        <w:r w:rsidRPr="00120E26">
          <w:rPr>
            <w:rStyle w:val="Hyperlink"/>
            <w:rFonts w:ascii="Arial" w:hAnsi="Arial" w:cs="Arial"/>
            <w:color w:val="auto"/>
            <w:sz w:val="16"/>
            <w:szCs w:val="16"/>
          </w:rPr>
          <w:t>http://Databank.worldbank.org</w:t>
        </w:r>
      </w:hyperlink>
      <w:r w:rsidRPr="00120E26">
        <w:rPr>
          <w:rFonts w:ascii="Arial" w:hAnsi="Arial" w:cs="Arial"/>
          <w:sz w:val="16"/>
          <w:szCs w:val="16"/>
        </w:rPr>
        <w:t xml:space="preserve"> [Accessed 13 Jan. 2015]</w:t>
      </w:r>
    </w:p>
  </w:footnote>
  <w:footnote w:id="21">
    <w:p w:rsidR="004B7001" w:rsidRPr="00F039CC" w:rsidRDefault="004B7001" w:rsidP="002508EA">
      <w:pPr>
        <w:pStyle w:val="FootnoteText"/>
        <w:jc w:val="both"/>
        <w:rPr>
          <w:rFonts w:ascii="Arial" w:hAnsi="Arial" w:cs="Arial"/>
          <w:i/>
          <w:sz w:val="16"/>
          <w:szCs w:val="16"/>
        </w:rPr>
      </w:pPr>
      <w:r w:rsidRPr="00120E26">
        <w:rPr>
          <w:rStyle w:val="FootnoteReference"/>
          <w:rFonts w:ascii="Arial" w:hAnsi="Arial" w:cs="Arial"/>
          <w:sz w:val="16"/>
          <w:szCs w:val="16"/>
        </w:rPr>
        <w:footnoteRef/>
      </w:r>
      <w:r w:rsidRPr="00120E26">
        <w:rPr>
          <w:rFonts w:ascii="Arial" w:hAnsi="Arial" w:cs="Arial"/>
          <w:sz w:val="16"/>
          <w:szCs w:val="16"/>
        </w:rPr>
        <w:t>http://www.inter-reseaux.org/revue-grain-de-sel/51-special-issue-nigeria/article/a-look-at-agriculture-and?lang=fr</w:t>
      </w:r>
    </w:p>
  </w:footnote>
  <w:footnote w:id="22">
    <w:p w:rsidR="004B7001" w:rsidRPr="00120E26" w:rsidRDefault="004B7001" w:rsidP="002508EA">
      <w:pPr>
        <w:pStyle w:val="FootnoteText"/>
        <w:jc w:val="both"/>
        <w:rPr>
          <w:rFonts w:ascii="Arial" w:hAnsi="Arial" w:cs="Arial"/>
          <w:sz w:val="16"/>
          <w:szCs w:val="16"/>
        </w:rPr>
      </w:pPr>
      <w:r w:rsidRPr="00120E26">
        <w:rPr>
          <w:rStyle w:val="FootnoteReference"/>
          <w:rFonts w:ascii="Arial" w:hAnsi="Arial" w:cs="Arial"/>
          <w:sz w:val="16"/>
          <w:szCs w:val="16"/>
        </w:rPr>
        <w:footnoteRef/>
      </w:r>
      <w:r w:rsidRPr="00120E26">
        <w:rPr>
          <w:rFonts w:ascii="Arial" w:hAnsi="Arial" w:cs="Arial"/>
          <w:sz w:val="16"/>
          <w:szCs w:val="16"/>
        </w:rPr>
        <w:t>http://www.inter-reseaux.org/revue-grain-de-sel/51-special-issue-nigeria/article/a-look-at-agriculture-and?lang=fr</w:t>
      </w:r>
    </w:p>
  </w:footnote>
  <w:footnote w:id="23">
    <w:p w:rsidR="004B7001" w:rsidRPr="00120E26" w:rsidRDefault="004B7001" w:rsidP="0069286C">
      <w:pPr>
        <w:pStyle w:val="Default"/>
        <w:rPr>
          <w:rFonts w:ascii="Arial" w:hAnsi="Arial" w:cs="Arial"/>
          <w:color w:val="auto"/>
          <w:sz w:val="16"/>
          <w:szCs w:val="16"/>
          <w:shd w:val="clear" w:color="auto" w:fill="F5F5FF"/>
        </w:rPr>
      </w:pPr>
      <w:r w:rsidRPr="00120E26">
        <w:rPr>
          <w:rStyle w:val="FootnoteReference"/>
          <w:rFonts w:ascii="Arial" w:hAnsi="Arial" w:cs="Arial"/>
          <w:color w:val="auto"/>
          <w:sz w:val="16"/>
          <w:szCs w:val="16"/>
        </w:rPr>
        <w:footnoteRef/>
      </w:r>
      <w:proofErr w:type="spellStart"/>
      <w:proofErr w:type="gramStart"/>
      <w:r w:rsidRPr="00120E26">
        <w:rPr>
          <w:rFonts w:ascii="Arial" w:hAnsi="Arial" w:cs="Arial"/>
          <w:color w:val="auto"/>
          <w:sz w:val="16"/>
          <w:szCs w:val="16"/>
          <w:shd w:val="clear" w:color="auto" w:fill="F5F5FF"/>
          <w:vertAlign w:val="superscript"/>
        </w:rPr>
        <w:t>d</w:t>
      </w:r>
      <w:r w:rsidRPr="00120E26">
        <w:rPr>
          <w:rFonts w:ascii="Arial" w:hAnsi="Arial" w:cs="Arial"/>
          <w:color w:val="auto"/>
          <w:sz w:val="16"/>
          <w:szCs w:val="16"/>
          <w:shd w:val="clear" w:color="auto" w:fill="F5F5FF"/>
        </w:rPr>
        <w:t>ICF</w:t>
      </w:r>
      <w:proofErr w:type="spellEnd"/>
      <w:proofErr w:type="gramEnd"/>
      <w:r w:rsidRPr="00120E26">
        <w:rPr>
          <w:rFonts w:ascii="Arial" w:hAnsi="Arial" w:cs="Arial"/>
          <w:color w:val="auto"/>
          <w:sz w:val="16"/>
          <w:szCs w:val="16"/>
          <w:shd w:val="clear" w:color="auto" w:fill="F5F5FF"/>
        </w:rPr>
        <w:t xml:space="preserve"> International. 2008-2013.Demographic and Health Surveys (various) [Datasets]. Calverton, Maryland: ICF International. 2015.</w:t>
      </w:r>
    </w:p>
  </w:footnote>
  <w:footnote w:id="24">
    <w:p w:rsidR="004B7001" w:rsidRPr="00120E26" w:rsidRDefault="004B7001" w:rsidP="0069286C">
      <w:pPr>
        <w:pStyle w:val="Default"/>
        <w:rPr>
          <w:rFonts w:ascii="Arial" w:hAnsi="Arial" w:cs="Arial"/>
          <w:color w:val="auto"/>
          <w:sz w:val="16"/>
          <w:szCs w:val="16"/>
        </w:rPr>
      </w:pPr>
      <w:r w:rsidRPr="00120E26">
        <w:rPr>
          <w:rStyle w:val="FootnoteReference"/>
          <w:rFonts w:ascii="Arial" w:hAnsi="Arial" w:cs="Arial"/>
          <w:color w:val="auto"/>
          <w:sz w:val="16"/>
          <w:szCs w:val="16"/>
        </w:rPr>
        <w:footnoteRef/>
      </w:r>
      <w:r w:rsidRPr="00120E26">
        <w:rPr>
          <w:rFonts w:ascii="Arial" w:hAnsi="Arial" w:cs="Arial"/>
          <w:color w:val="auto"/>
          <w:sz w:val="16"/>
          <w:szCs w:val="16"/>
        </w:rPr>
        <w:t xml:space="preserve">Databank.worldbank.org, (2014). </w:t>
      </w:r>
      <w:proofErr w:type="gramStart"/>
      <w:r w:rsidRPr="00120E26">
        <w:rPr>
          <w:rFonts w:ascii="Arial" w:hAnsi="Arial" w:cs="Arial"/>
          <w:color w:val="auto"/>
          <w:sz w:val="16"/>
          <w:szCs w:val="16"/>
        </w:rPr>
        <w:t xml:space="preserve">The World Bank </w:t>
      </w:r>
      <w:proofErr w:type="spellStart"/>
      <w:r w:rsidRPr="00120E26">
        <w:rPr>
          <w:rFonts w:ascii="Arial" w:hAnsi="Arial" w:cs="Arial"/>
          <w:color w:val="auto"/>
          <w:sz w:val="16"/>
          <w:szCs w:val="16"/>
        </w:rPr>
        <w:t>DataBank</w:t>
      </w:r>
      <w:proofErr w:type="spellEnd"/>
      <w:r w:rsidRPr="00120E26">
        <w:rPr>
          <w:rFonts w:ascii="Arial" w:hAnsi="Arial" w:cs="Arial"/>
          <w:color w:val="auto"/>
          <w:sz w:val="16"/>
          <w:szCs w:val="16"/>
        </w:rPr>
        <w:t>.</w:t>
      </w:r>
      <w:proofErr w:type="gramEnd"/>
      <w:r w:rsidRPr="00120E26">
        <w:rPr>
          <w:rFonts w:ascii="Arial" w:hAnsi="Arial" w:cs="Arial"/>
          <w:color w:val="auto"/>
          <w:sz w:val="16"/>
          <w:szCs w:val="16"/>
        </w:rPr>
        <w:t xml:space="preserve"> [online] Available at: </w:t>
      </w:r>
      <w:hyperlink r:id="rId8" w:history="1">
        <w:r w:rsidRPr="00120E26">
          <w:rPr>
            <w:rStyle w:val="Hyperlink"/>
            <w:rFonts w:ascii="Arial" w:hAnsi="Arial" w:cs="Arial"/>
            <w:color w:val="auto"/>
            <w:sz w:val="16"/>
            <w:szCs w:val="16"/>
          </w:rPr>
          <w:t>http://Databank.worldbank.org</w:t>
        </w:r>
      </w:hyperlink>
      <w:r w:rsidRPr="00120E26">
        <w:rPr>
          <w:rFonts w:ascii="Arial" w:hAnsi="Arial" w:cs="Arial"/>
          <w:color w:val="auto"/>
          <w:sz w:val="16"/>
          <w:szCs w:val="16"/>
        </w:rPr>
        <w:t xml:space="preserve"> [Accessed 13 Jan. 2015]</w:t>
      </w:r>
    </w:p>
  </w:footnote>
  <w:footnote w:id="25">
    <w:p w:rsidR="004B7001" w:rsidRPr="00120E26" w:rsidRDefault="004B7001" w:rsidP="0069286C">
      <w:pPr>
        <w:pStyle w:val="Default"/>
        <w:rPr>
          <w:rFonts w:ascii="Arial" w:hAnsi="Arial" w:cs="Arial"/>
          <w:color w:val="auto"/>
          <w:sz w:val="16"/>
          <w:szCs w:val="16"/>
        </w:rPr>
      </w:pPr>
      <w:r w:rsidRPr="00120E26">
        <w:rPr>
          <w:rStyle w:val="FootnoteReference"/>
          <w:rFonts w:ascii="Arial" w:hAnsi="Arial" w:cs="Arial"/>
          <w:color w:val="auto"/>
          <w:sz w:val="16"/>
          <w:szCs w:val="16"/>
        </w:rPr>
        <w:footnoteRef/>
      </w:r>
      <w:proofErr w:type="spellStart"/>
      <w:r w:rsidRPr="00120E26">
        <w:rPr>
          <w:rFonts w:ascii="Arial" w:hAnsi="Arial" w:cs="Arial"/>
          <w:color w:val="auto"/>
          <w:sz w:val="16"/>
          <w:szCs w:val="16"/>
        </w:rPr>
        <w:t>Calandro</w:t>
      </w:r>
      <w:proofErr w:type="spellEnd"/>
      <w:r w:rsidRPr="00120E26">
        <w:rPr>
          <w:rFonts w:ascii="Arial" w:hAnsi="Arial" w:cs="Arial"/>
          <w:color w:val="auto"/>
          <w:sz w:val="16"/>
          <w:szCs w:val="16"/>
        </w:rPr>
        <w:t>, E., Stork, C. &amp;</w:t>
      </w:r>
      <w:proofErr w:type="spellStart"/>
      <w:r w:rsidRPr="00120E26">
        <w:rPr>
          <w:rFonts w:ascii="Arial" w:hAnsi="Arial" w:cs="Arial"/>
          <w:color w:val="auto"/>
          <w:sz w:val="16"/>
          <w:szCs w:val="16"/>
        </w:rPr>
        <w:t>Gillwald</w:t>
      </w:r>
      <w:proofErr w:type="spellEnd"/>
      <w:r w:rsidRPr="00120E26">
        <w:rPr>
          <w:rFonts w:ascii="Arial" w:hAnsi="Arial" w:cs="Arial"/>
          <w:color w:val="auto"/>
          <w:sz w:val="16"/>
          <w:szCs w:val="16"/>
        </w:rPr>
        <w:t xml:space="preserve">, A. (2012) Internet Going Mobile: Internet access and usage in eleven African countries. [Online] Available at </w:t>
      </w:r>
      <w:hyperlink r:id="rId9" w:history="1">
        <w:r w:rsidRPr="00120E26">
          <w:rPr>
            <w:rStyle w:val="Hyperlink"/>
            <w:rFonts w:ascii="Arial" w:hAnsi="Arial" w:cs="Arial"/>
            <w:color w:val="auto"/>
            <w:sz w:val="16"/>
            <w:szCs w:val="16"/>
          </w:rPr>
          <w:t>http://www.researchictafrica.net/presentations/Presentations/2012%20Calandro%20Stork%20Gillwald%20-%20Internet%20Going%20Mobile-%20Internet%20access%20and%20usage%20in%20eleven%20African%20countries%20.pdf</w:t>
        </w:r>
      </w:hyperlink>
      <w:r w:rsidRPr="00120E26">
        <w:rPr>
          <w:rFonts w:ascii="Arial" w:hAnsi="Arial" w:cs="Arial"/>
          <w:color w:val="auto"/>
          <w:sz w:val="16"/>
          <w:szCs w:val="16"/>
        </w:rPr>
        <w:t xml:space="preserve"> [Accessed 13 Jan 2015]</w:t>
      </w:r>
    </w:p>
  </w:footnote>
  <w:footnote w:id="26">
    <w:p w:rsidR="004B7001" w:rsidRPr="00F039CC" w:rsidRDefault="004B7001" w:rsidP="0069286C">
      <w:pPr>
        <w:pStyle w:val="FootnoteText"/>
        <w:rPr>
          <w:rFonts w:ascii="Arial" w:hAnsi="Arial" w:cs="Arial"/>
          <w:sz w:val="16"/>
          <w:szCs w:val="16"/>
        </w:rPr>
      </w:pPr>
      <w:r w:rsidRPr="00120E26">
        <w:rPr>
          <w:rStyle w:val="FootnoteReference"/>
          <w:rFonts w:ascii="Arial" w:hAnsi="Arial" w:cs="Arial"/>
          <w:sz w:val="16"/>
          <w:szCs w:val="16"/>
        </w:rPr>
        <w:footnoteRef/>
      </w:r>
      <w:r w:rsidRPr="00120E26">
        <w:rPr>
          <w:rFonts w:ascii="Arial" w:hAnsi="Arial" w:cs="Arial"/>
          <w:sz w:val="16"/>
          <w:szCs w:val="16"/>
        </w:rPr>
        <w:t>http://www.premiumtimesng.com/news/154296-private-sector-invests-n1-7-trillion-nigerias-agricultural-sector-jonathan.html</w:t>
      </w:r>
    </w:p>
  </w:footnote>
  <w:footnote w:id="27">
    <w:p w:rsidR="004B7001" w:rsidRPr="00485844" w:rsidRDefault="004B7001" w:rsidP="00E47294">
      <w:pPr>
        <w:pStyle w:val="FootnoteText"/>
        <w:rPr>
          <w:rFonts w:ascii="Arial" w:hAnsi="Arial" w:cs="Arial"/>
          <w:sz w:val="16"/>
          <w:szCs w:val="16"/>
        </w:rPr>
      </w:pPr>
      <w:r w:rsidRPr="00485844">
        <w:rPr>
          <w:rStyle w:val="FootnoteReference"/>
          <w:rFonts w:ascii="Arial" w:hAnsi="Arial" w:cs="Arial"/>
          <w:sz w:val="16"/>
          <w:szCs w:val="16"/>
        </w:rPr>
        <w:footnoteRef/>
      </w:r>
      <w:r w:rsidRPr="00485844">
        <w:rPr>
          <w:rFonts w:ascii="Arial" w:hAnsi="Arial" w:cs="Arial"/>
          <w:sz w:val="16"/>
          <w:szCs w:val="16"/>
        </w:rPr>
        <w:t xml:space="preserve"> Business Day Research and Intelligence Unit (BRIU) and </w:t>
      </w:r>
      <w:proofErr w:type="spellStart"/>
      <w:r w:rsidRPr="00485844">
        <w:rPr>
          <w:rFonts w:ascii="Arial" w:hAnsi="Arial" w:cs="Arial"/>
          <w:sz w:val="16"/>
          <w:szCs w:val="16"/>
        </w:rPr>
        <w:t>Terragon</w:t>
      </w:r>
      <w:proofErr w:type="spellEnd"/>
      <w:r w:rsidRPr="00485844">
        <w:rPr>
          <w:rFonts w:ascii="Arial" w:hAnsi="Arial" w:cs="Arial"/>
          <w:sz w:val="16"/>
          <w:szCs w:val="16"/>
        </w:rPr>
        <w:t xml:space="preserve"> Insights: 2013 Report on the State of Digital Media in Nigeria, (2013).</w:t>
      </w:r>
    </w:p>
  </w:footnote>
  <w:footnote w:id="28">
    <w:p w:rsidR="004B7001" w:rsidRPr="00485844" w:rsidRDefault="004B7001" w:rsidP="00E47294">
      <w:pPr>
        <w:pStyle w:val="FootnoteText"/>
        <w:rPr>
          <w:rFonts w:ascii="Arial" w:hAnsi="Arial" w:cs="Arial"/>
          <w:sz w:val="16"/>
          <w:szCs w:val="16"/>
        </w:rPr>
      </w:pPr>
      <w:r w:rsidRPr="00485844">
        <w:rPr>
          <w:rStyle w:val="FootnoteReference"/>
          <w:rFonts w:ascii="Arial" w:hAnsi="Arial" w:cs="Arial"/>
          <w:sz w:val="16"/>
          <w:szCs w:val="16"/>
        </w:rPr>
        <w:footnoteRef/>
      </w:r>
      <w:r w:rsidRPr="00485844">
        <w:rPr>
          <w:rFonts w:ascii="Arial" w:hAnsi="Arial" w:cs="Arial"/>
          <w:sz w:val="16"/>
          <w:szCs w:val="16"/>
        </w:rPr>
        <w:t xml:space="preserve"> Databank.worldbank.org, (2014). </w:t>
      </w:r>
      <w:proofErr w:type="gramStart"/>
      <w:r w:rsidRPr="00485844">
        <w:rPr>
          <w:rFonts w:ascii="Arial" w:hAnsi="Arial" w:cs="Arial"/>
          <w:sz w:val="16"/>
          <w:szCs w:val="16"/>
        </w:rPr>
        <w:t xml:space="preserve">The World Bank </w:t>
      </w:r>
      <w:proofErr w:type="spellStart"/>
      <w:r w:rsidRPr="00485844">
        <w:rPr>
          <w:rFonts w:ascii="Arial" w:hAnsi="Arial" w:cs="Arial"/>
          <w:sz w:val="16"/>
          <w:szCs w:val="16"/>
        </w:rPr>
        <w:t>DataBank</w:t>
      </w:r>
      <w:proofErr w:type="spellEnd"/>
      <w:r w:rsidRPr="00485844">
        <w:rPr>
          <w:rFonts w:ascii="Arial" w:hAnsi="Arial" w:cs="Arial"/>
          <w:sz w:val="16"/>
          <w:szCs w:val="16"/>
        </w:rPr>
        <w:t>.</w:t>
      </w:r>
      <w:proofErr w:type="gramEnd"/>
      <w:r w:rsidRPr="00485844">
        <w:rPr>
          <w:rFonts w:ascii="Arial" w:hAnsi="Arial" w:cs="Arial"/>
          <w:sz w:val="16"/>
          <w:szCs w:val="16"/>
        </w:rPr>
        <w:t xml:space="preserve"> [online] Available at: http://Databank.worldbank.org [Accessed 13 Jan. 2015]</w:t>
      </w:r>
    </w:p>
  </w:footnote>
  <w:footnote w:id="29">
    <w:p w:rsidR="004B7001" w:rsidRPr="00485844" w:rsidRDefault="004B7001" w:rsidP="00E47294">
      <w:pPr>
        <w:pStyle w:val="FootnoteText"/>
        <w:rPr>
          <w:rFonts w:ascii="Arial" w:hAnsi="Arial" w:cs="Arial"/>
          <w:sz w:val="16"/>
          <w:szCs w:val="16"/>
          <w:lang w:val="en-GB"/>
        </w:rPr>
      </w:pPr>
      <w:r w:rsidRPr="00485844">
        <w:rPr>
          <w:rStyle w:val="FootnoteReference"/>
          <w:rFonts w:ascii="Arial" w:hAnsi="Arial" w:cs="Arial"/>
          <w:sz w:val="16"/>
          <w:szCs w:val="16"/>
        </w:rPr>
        <w:footnoteRef/>
      </w:r>
      <w:r w:rsidRPr="00485844">
        <w:rPr>
          <w:rFonts w:ascii="Arial" w:hAnsi="Arial" w:cs="Arial"/>
          <w:sz w:val="16"/>
          <w:szCs w:val="16"/>
        </w:rPr>
        <w:t xml:space="preserve"> http://www.internetworldstats.com/stats1.htm</w:t>
      </w:r>
    </w:p>
  </w:footnote>
  <w:footnote w:id="30">
    <w:p w:rsidR="004B7001" w:rsidRPr="00485844" w:rsidRDefault="004B7001" w:rsidP="00E47294">
      <w:pPr>
        <w:pStyle w:val="FootnoteText"/>
        <w:rPr>
          <w:rFonts w:ascii="Arial" w:hAnsi="Arial" w:cs="Arial"/>
          <w:sz w:val="16"/>
          <w:szCs w:val="16"/>
          <w:lang w:val="en-GB"/>
        </w:rPr>
      </w:pPr>
      <w:r w:rsidRPr="00485844">
        <w:rPr>
          <w:rStyle w:val="FootnoteReference"/>
          <w:rFonts w:ascii="Arial" w:hAnsi="Arial" w:cs="Arial"/>
          <w:sz w:val="16"/>
          <w:szCs w:val="16"/>
        </w:rPr>
        <w:footnoteRef/>
      </w:r>
      <w:r w:rsidRPr="00485844">
        <w:rPr>
          <w:rFonts w:ascii="Arial" w:hAnsi="Arial" w:cs="Arial"/>
          <w:sz w:val="16"/>
          <w:szCs w:val="16"/>
        </w:rPr>
        <w:t xml:space="preserve"> http://uscpublicdiplomacy.org/blog/gallup_bbg_survey_massive_increase_in_mobile_phone_internet_use_in_nigeria</w:t>
      </w:r>
    </w:p>
  </w:footnote>
  <w:footnote w:id="31">
    <w:p w:rsidR="004B7001" w:rsidRPr="00485844" w:rsidRDefault="004B7001" w:rsidP="00E47294">
      <w:pPr>
        <w:pStyle w:val="FootnoteText"/>
        <w:rPr>
          <w:rFonts w:ascii="Arial" w:hAnsi="Arial" w:cs="Arial"/>
          <w:sz w:val="16"/>
          <w:szCs w:val="16"/>
          <w:lang w:val="en-GB"/>
        </w:rPr>
      </w:pPr>
      <w:r w:rsidRPr="00485844">
        <w:rPr>
          <w:rStyle w:val="FootnoteReference"/>
          <w:rFonts w:ascii="Arial" w:hAnsi="Arial" w:cs="Arial"/>
          <w:sz w:val="16"/>
          <w:szCs w:val="16"/>
        </w:rPr>
        <w:footnoteRef/>
      </w:r>
      <w:r w:rsidRPr="00485844">
        <w:rPr>
          <w:rFonts w:ascii="Arial" w:hAnsi="Arial" w:cs="Arial"/>
          <w:sz w:val="16"/>
          <w:szCs w:val="16"/>
        </w:rPr>
        <w:t>http://www.bbg.gov/wp-content/media/2012/08/gallup-nigeria-brief.pdf</w:t>
      </w:r>
    </w:p>
  </w:footnote>
  <w:footnote w:id="32">
    <w:p w:rsidR="004B7001" w:rsidRPr="00485844" w:rsidRDefault="004B7001" w:rsidP="00E47294">
      <w:pPr>
        <w:spacing w:after="0" w:line="240" w:lineRule="auto"/>
        <w:rPr>
          <w:rFonts w:ascii="Arial" w:eastAsia="Times New Roman" w:hAnsi="Arial" w:cs="Arial"/>
          <w:sz w:val="16"/>
          <w:szCs w:val="16"/>
          <w:lang w:val="en-GB"/>
        </w:rPr>
      </w:pPr>
      <w:r w:rsidRPr="00485844">
        <w:rPr>
          <w:rStyle w:val="FootnoteReference"/>
          <w:rFonts w:ascii="Arial" w:hAnsi="Arial" w:cs="Arial"/>
          <w:sz w:val="16"/>
          <w:szCs w:val="16"/>
        </w:rPr>
        <w:footnoteRef/>
      </w:r>
      <w:r w:rsidRPr="00485844">
        <w:rPr>
          <w:rFonts w:ascii="Arial" w:eastAsia="Times New Roman" w:hAnsi="Arial" w:cs="Arial"/>
          <w:sz w:val="16"/>
          <w:szCs w:val="16"/>
          <w:lang w:val="en-GB"/>
        </w:rPr>
        <w:t xml:space="preserve">The Social Media Landscape in Nigeria, 2014: The who, </w:t>
      </w:r>
      <w:proofErr w:type="gramStart"/>
      <w:r w:rsidRPr="00485844">
        <w:rPr>
          <w:rFonts w:ascii="Arial" w:eastAsia="Times New Roman" w:hAnsi="Arial" w:cs="Arial"/>
          <w:sz w:val="16"/>
          <w:szCs w:val="16"/>
          <w:lang w:val="en-GB"/>
        </w:rPr>
        <w:t>the what</w:t>
      </w:r>
      <w:proofErr w:type="gramEnd"/>
      <w:r w:rsidRPr="00485844">
        <w:rPr>
          <w:rFonts w:ascii="Arial" w:eastAsia="Times New Roman" w:hAnsi="Arial" w:cs="Arial"/>
          <w:sz w:val="16"/>
          <w:szCs w:val="16"/>
          <w:lang w:val="en-GB"/>
        </w:rPr>
        <w:t xml:space="preserve"> and the know. </w:t>
      </w:r>
      <w:proofErr w:type="gramStart"/>
      <w:r w:rsidRPr="00485844">
        <w:rPr>
          <w:rFonts w:ascii="Arial" w:eastAsia="Times New Roman" w:hAnsi="Arial" w:cs="Arial"/>
          <w:sz w:val="16"/>
          <w:szCs w:val="16"/>
          <w:lang w:val="en-GB"/>
        </w:rPr>
        <w:t>The African Practice.</w:t>
      </w:r>
      <w:proofErr w:type="gramEnd"/>
      <w:r w:rsidRPr="00485844">
        <w:rPr>
          <w:rFonts w:ascii="Arial" w:eastAsia="Times New Roman" w:hAnsi="Arial" w:cs="Arial"/>
          <w:sz w:val="16"/>
          <w:szCs w:val="16"/>
          <w:lang w:val="en-GB"/>
        </w:rPr>
        <w:t xml:space="preserve"> (edition 1, 2014)</w:t>
      </w:r>
    </w:p>
  </w:footnote>
  <w:footnote w:id="33">
    <w:p w:rsidR="004B7001" w:rsidRPr="00485844" w:rsidRDefault="004B7001" w:rsidP="00E47294">
      <w:pPr>
        <w:pStyle w:val="FootnoteText"/>
        <w:rPr>
          <w:rFonts w:ascii="Arial" w:hAnsi="Arial" w:cs="Arial"/>
          <w:sz w:val="16"/>
          <w:szCs w:val="16"/>
        </w:rPr>
      </w:pPr>
      <w:r w:rsidRPr="00485844">
        <w:rPr>
          <w:rStyle w:val="FootnoteReference"/>
          <w:rFonts w:ascii="Arial" w:hAnsi="Arial" w:cs="Arial"/>
          <w:sz w:val="16"/>
          <w:szCs w:val="16"/>
        </w:rPr>
        <w:footnoteRef/>
      </w:r>
      <w:r w:rsidRPr="00485844">
        <w:rPr>
          <w:rFonts w:ascii="Arial" w:hAnsi="Arial" w:cs="Arial"/>
          <w:sz w:val="16"/>
          <w:szCs w:val="16"/>
        </w:rPr>
        <w:t xml:space="preserve"> PM News Report: October 20, 2014.  Also in the Permanent Secretary’s Remarks at a WAAPP Convention of State Commissioners of Agriculture and State Permanent Secretaries of Agriculture, 19th November, 2014, in Abuja.</w:t>
      </w:r>
    </w:p>
  </w:footnote>
  <w:footnote w:id="34">
    <w:p w:rsidR="004B7001" w:rsidRDefault="004B7001" w:rsidP="00E47294">
      <w:pPr>
        <w:pStyle w:val="FootnoteText"/>
      </w:pPr>
      <w:r w:rsidRPr="00485844">
        <w:rPr>
          <w:rStyle w:val="FootnoteReference"/>
          <w:rFonts w:ascii="Arial" w:hAnsi="Arial" w:cs="Arial"/>
          <w:sz w:val="16"/>
          <w:szCs w:val="16"/>
        </w:rPr>
        <w:footnoteRef/>
      </w:r>
      <w:r w:rsidRPr="00485844">
        <w:rPr>
          <w:rFonts w:ascii="Arial" w:hAnsi="Arial" w:cs="Arial"/>
          <w:sz w:val="16"/>
          <w:szCs w:val="16"/>
        </w:rPr>
        <w:t xml:space="preserve"> WAAPP-Nigeria: Adopted School </w:t>
      </w:r>
      <w:proofErr w:type="spellStart"/>
      <w:r w:rsidRPr="00485844">
        <w:rPr>
          <w:rFonts w:ascii="Arial" w:hAnsi="Arial" w:cs="Arial"/>
          <w:sz w:val="16"/>
          <w:szCs w:val="16"/>
        </w:rPr>
        <w:t>Programme</w:t>
      </w:r>
      <w:proofErr w:type="spellEnd"/>
      <w:r w:rsidRPr="00485844">
        <w:rPr>
          <w:rFonts w:ascii="Arial" w:hAnsi="Arial" w:cs="Arial"/>
          <w:sz w:val="16"/>
          <w:szCs w:val="16"/>
        </w:rPr>
        <w:t>. W. Bank Support Mission Report. November 2014.</w:t>
      </w:r>
    </w:p>
  </w:footnote>
  <w:footnote w:id="35">
    <w:p w:rsidR="004B7001" w:rsidRPr="00E47294" w:rsidRDefault="004B7001" w:rsidP="002659E6">
      <w:pPr>
        <w:pStyle w:val="FootnoteText"/>
        <w:rPr>
          <w:rFonts w:ascii="Arial" w:hAnsi="Arial" w:cs="Arial"/>
          <w:sz w:val="16"/>
          <w:szCs w:val="16"/>
          <w:lang w:val="en-GB"/>
        </w:rPr>
      </w:pPr>
      <w:r w:rsidRPr="00E47294">
        <w:rPr>
          <w:rStyle w:val="FootnoteReference"/>
          <w:rFonts w:ascii="Arial" w:hAnsi="Arial" w:cs="Arial"/>
          <w:sz w:val="16"/>
          <w:szCs w:val="16"/>
        </w:rPr>
        <w:footnoteRef/>
      </w:r>
      <w:r w:rsidRPr="00E47294">
        <w:rPr>
          <w:rFonts w:ascii="Arial" w:hAnsi="Arial" w:cs="Arial"/>
          <w:sz w:val="16"/>
          <w:szCs w:val="16"/>
        </w:rPr>
        <w:t>https://iitayouthagripreneurs.wordpress.com/about/</w:t>
      </w:r>
    </w:p>
  </w:footnote>
  <w:footnote w:id="36">
    <w:p w:rsidR="004B7001" w:rsidRPr="00143070" w:rsidRDefault="004B7001" w:rsidP="002659E6">
      <w:pPr>
        <w:pStyle w:val="FootnoteText"/>
        <w:rPr>
          <w:rFonts w:ascii="Arial" w:hAnsi="Arial" w:cs="Arial"/>
          <w:sz w:val="16"/>
          <w:szCs w:val="16"/>
        </w:rPr>
      </w:pPr>
      <w:r w:rsidRPr="00143070">
        <w:rPr>
          <w:rStyle w:val="FootnoteReference"/>
          <w:rFonts w:ascii="Arial" w:hAnsi="Arial" w:cs="Arial"/>
          <w:sz w:val="16"/>
          <w:szCs w:val="16"/>
        </w:rPr>
        <w:footnoteRef/>
      </w:r>
      <w:r w:rsidRPr="00143070">
        <w:rPr>
          <w:rFonts w:ascii="Arial" w:hAnsi="Arial" w:cs="Arial"/>
          <w:sz w:val="16"/>
          <w:szCs w:val="16"/>
        </w:rPr>
        <w:t>http://www.emrc.be/documents/document/20121205120841-agri2012-special_session-tony_bello-min_agric_nigeria.pdf</w:t>
      </w:r>
    </w:p>
  </w:footnote>
  <w:footnote w:id="37">
    <w:p w:rsidR="004B7001" w:rsidRPr="00143070" w:rsidRDefault="004B7001" w:rsidP="0069286C">
      <w:pPr>
        <w:pStyle w:val="FootnoteText"/>
        <w:jc w:val="both"/>
        <w:rPr>
          <w:rFonts w:ascii="Arial" w:hAnsi="Arial" w:cs="Arial"/>
          <w:sz w:val="16"/>
          <w:szCs w:val="16"/>
        </w:rPr>
      </w:pPr>
      <w:r w:rsidRPr="00143070">
        <w:rPr>
          <w:rStyle w:val="FootnoteReference"/>
          <w:rFonts w:ascii="Arial" w:hAnsi="Arial" w:cs="Arial"/>
          <w:sz w:val="16"/>
          <w:szCs w:val="16"/>
        </w:rPr>
        <w:footnoteRef/>
      </w:r>
      <w:r w:rsidRPr="00143070">
        <w:rPr>
          <w:rFonts w:ascii="Arial" w:hAnsi="Arial" w:cs="Arial"/>
          <w:sz w:val="16"/>
          <w:szCs w:val="16"/>
        </w:rPr>
        <w:t xml:space="preserve"> Prince Ike E. </w:t>
      </w:r>
      <w:proofErr w:type="spellStart"/>
      <w:r w:rsidRPr="00143070">
        <w:rPr>
          <w:rFonts w:ascii="Arial" w:hAnsi="Arial" w:cs="Arial"/>
          <w:sz w:val="16"/>
          <w:szCs w:val="16"/>
        </w:rPr>
        <w:t>Ubaka</w:t>
      </w:r>
      <w:proofErr w:type="spellEnd"/>
      <w:r w:rsidRPr="00143070">
        <w:rPr>
          <w:rFonts w:ascii="Arial" w:hAnsi="Arial" w:cs="Arial"/>
          <w:sz w:val="16"/>
          <w:szCs w:val="16"/>
        </w:rPr>
        <w:t xml:space="preserve">, AFAN’s Deputy National President 1 (Administration). Interviewed by Consultant. </w:t>
      </w:r>
    </w:p>
  </w:footnote>
  <w:footnote w:id="38">
    <w:p w:rsidR="004B7001" w:rsidRPr="00143070" w:rsidRDefault="004B7001" w:rsidP="0069286C">
      <w:pPr>
        <w:pStyle w:val="FootnoteText"/>
        <w:jc w:val="both"/>
        <w:rPr>
          <w:rFonts w:ascii="Arial" w:hAnsi="Arial" w:cs="Arial"/>
          <w:sz w:val="16"/>
          <w:szCs w:val="16"/>
        </w:rPr>
      </w:pPr>
      <w:r w:rsidRPr="00143070">
        <w:rPr>
          <w:rStyle w:val="FootnoteReference"/>
          <w:rFonts w:ascii="Arial" w:hAnsi="Arial" w:cs="Arial"/>
          <w:sz w:val="16"/>
          <w:szCs w:val="16"/>
        </w:rPr>
        <w:footnoteRef/>
      </w:r>
      <w:r w:rsidRPr="00143070">
        <w:rPr>
          <w:rFonts w:ascii="Arial" w:hAnsi="Arial" w:cs="Arial"/>
          <w:sz w:val="16"/>
          <w:szCs w:val="16"/>
        </w:rPr>
        <w:t xml:space="preserve"> Prince Ike E. </w:t>
      </w:r>
      <w:proofErr w:type="spellStart"/>
      <w:r w:rsidRPr="00143070">
        <w:rPr>
          <w:rFonts w:ascii="Arial" w:hAnsi="Arial" w:cs="Arial"/>
          <w:sz w:val="16"/>
          <w:szCs w:val="16"/>
        </w:rPr>
        <w:t>Ubaka</w:t>
      </w:r>
      <w:proofErr w:type="spellEnd"/>
      <w:r w:rsidRPr="00143070">
        <w:rPr>
          <w:rFonts w:ascii="Arial" w:hAnsi="Arial" w:cs="Arial"/>
          <w:sz w:val="16"/>
          <w:szCs w:val="16"/>
        </w:rPr>
        <w:t xml:space="preserve">, Director of PEADIN. 30 Edinburgh Road, </w:t>
      </w:r>
      <w:proofErr w:type="spellStart"/>
      <w:r w:rsidRPr="00143070">
        <w:rPr>
          <w:rFonts w:ascii="Arial" w:hAnsi="Arial" w:cs="Arial"/>
          <w:sz w:val="16"/>
          <w:szCs w:val="16"/>
        </w:rPr>
        <w:t>Ogui</w:t>
      </w:r>
      <w:proofErr w:type="spellEnd"/>
      <w:r w:rsidRPr="00143070">
        <w:rPr>
          <w:rFonts w:ascii="Arial" w:hAnsi="Arial" w:cs="Arial"/>
          <w:sz w:val="16"/>
          <w:szCs w:val="16"/>
        </w:rPr>
        <w:t xml:space="preserve"> New Layout, Enugu. </w:t>
      </w:r>
    </w:p>
    <w:p w:rsidR="004B7001" w:rsidRDefault="004B7001" w:rsidP="0069286C">
      <w:pPr>
        <w:pStyle w:val="FootnoteText"/>
        <w:jc w:val="both"/>
      </w:pPr>
      <w:r w:rsidRPr="00143070">
        <w:rPr>
          <w:rFonts w:ascii="Arial" w:hAnsi="Arial" w:cs="Arial"/>
          <w:sz w:val="16"/>
          <w:szCs w:val="16"/>
        </w:rPr>
        <w:t xml:space="preserve">    Mobile phone number: 08033133622. Email: </w:t>
      </w:r>
      <w:hyperlink r:id="rId10" w:history="1">
        <w:r w:rsidRPr="00143070">
          <w:rPr>
            <w:rStyle w:val="Hyperlink"/>
            <w:rFonts w:ascii="Arial" w:hAnsi="Arial" w:cs="Arial"/>
            <w:color w:val="auto"/>
            <w:sz w:val="16"/>
            <w:szCs w:val="16"/>
          </w:rPr>
          <w:t>benobed@yahoo.com</w:t>
        </w:r>
      </w:hyperlink>
    </w:p>
  </w:footnote>
  <w:footnote w:id="39">
    <w:p w:rsidR="004B7001" w:rsidRPr="00143070" w:rsidRDefault="004B7001" w:rsidP="00C701A7">
      <w:pPr>
        <w:pStyle w:val="FootnoteText"/>
        <w:jc w:val="both"/>
        <w:rPr>
          <w:rFonts w:ascii="Arial" w:hAnsi="Arial" w:cs="Arial"/>
          <w:sz w:val="16"/>
          <w:szCs w:val="16"/>
        </w:rPr>
      </w:pPr>
      <w:r w:rsidRPr="00143070">
        <w:rPr>
          <w:rStyle w:val="FootnoteReference"/>
          <w:rFonts w:ascii="Arial" w:hAnsi="Arial" w:cs="Arial"/>
          <w:sz w:val="16"/>
          <w:szCs w:val="16"/>
        </w:rPr>
        <w:footnoteRef/>
      </w:r>
      <w:r w:rsidRPr="00143070">
        <w:rPr>
          <w:rFonts w:ascii="Arial" w:hAnsi="Arial" w:cs="Arial"/>
          <w:sz w:val="16"/>
          <w:szCs w:val="16"/>
        </w:rPr>
        <w:t xml:space="preserve"> GSARDI’s Chief Executive Officer: Muhammad Ahmad </w:t>
      </w:r>
      <w:proofErr w:type="spellStart"/>
      <w:r w:rsidRPr="00143070">
        <w:rPr>
          <w:rFonts w:ascii="Arial" w:hAnsi="Arial" w:cs="Arial"/>
          <w:sz w:val="16"/>
          <w:szCs w:val="16"/>
        </w:rPr>
        <w:t>Adamu</w:t>
      </w:r>
      <w:proofErr w:type="spellEnd"/>
      <w:r w:rsidRPr="00143070">
        <w:rPr>
          <w:rFonts w:ascii="Arial" w:hAnsi="Arial" w:cs="Arial"/>
          <w:sz w:val="16"/>
          <w:szCs w:val="16"/>
        </w:rPr>
        <w:t xml:space="preserve">; mobile phone #: 08032868123. Email: </w:t>
      </w:r>
      <w:hyperlink r:id="rId11" w:history="1">
        <w:r w:rsidRPr="00143070">
          <w:rPr>
            <w:rStyle w:val="Hyperlink"/>
            <w:rFonts w:ascii="Arial" w:hAnsi="Arial" w:cs="Arial"/>
            <w:color w:val="auto"/>
            <w:sz w:val="16"/>
            <w:szCs w:val="16"/>
          </w:rPr>
          <w:t>gsahelrural@gmail.com</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DD"/>
    <w:multiLevelType w:val="hybridMultilevel"/>
    <w:tmpl w:val="9A623AC4"/>
    <w:lvl w:ilvl="0" w:tplc="9BFEE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776F"/>
    <w:multiLevelType w:val="hybridMultilevel"/>
    <w:tmpl w:val="549E9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276"/>
    <w:multiLevelType w:val="hybridMultilevel"/>
    <w:tmpl w:val="76B0C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F5211"/>
    <w:multiLevelType w:val="hybridMultilevel"/>
    <w:tmpl w:val="487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5390B"/>
    <w:multiLevelType w:val="multilevel"/>
    <w:tmpl w:val="39C2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30DE5"/>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7851A7"/>
    <w:multiLevelType w:val="hybridMultilevel"/>
    <w:tmpl w:val="EC4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143EA"/>
    <w:multiLevelType w:val="hybridMultilevel"/>
    <w:tmpl w:val="67CEC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320DB"/>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537944"/>
    <w:multiLevelType w:val="hybridMultilevel"/>
    <w:tmpl w:val="F7421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A4B20"/>
    <w:multiLevelType w:val="hybridMultilevel"/>
    <w:tmpl w:val="8CFA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E2B5D"/>
    <w:multiLevelType w:val="hybridMultilevel"/>
    <w:tmpl w:val="7B62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53089"/>
    <w:multiLevelType w:val="hybridMultilevel"/>
    <w:tmpl w:val="B0C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2042B"/>
    <w:multiLevelType w:val="hybridMultilevel"/>
    <w:tmpl w:val="3C92F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85A07"/>
    <w:multiLevelType w:val="hybridMultilevel"/>
    <w:tmpl w:val="80A22F86"/>
    <w:lvl w:ilvl="0" w:tplc="2138EA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12DD8"/>
    <w:multiLevelType w:val="hybridMultilevel"/>
    <w:tmpl w:val="E4981A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57157CA1"/>
    <w:multiLevelType w:val="hybridMultilevel"/>
    <w:tmpl w:val="FB3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0A2CAB"/>
    <w:multiLevelType w:val="hybridMultilevel"/>
    <w:tmpl w:val="C1EC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F548E"/>
    <w:multiLevelType w:val="hybridMultilevel"/>
    <w:tmpl w:val="29EA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31343"/>
    <w:multiLevelType w:val="hybridMultilevel"/>
    <w:tmpl w:val="6E0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96193C"/>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74456F1"/>
    <w:multiLevelType w:val="hybridMultilevel"/>
    <w:tmpl w:val="55423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62854"/>
    <w:multiLevelType w:val="hybridMultilevel"/>
    <w:tmpl w:val="A68C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C4791"/>
    <w:multiLevelType w:val="hybridMultilevel"/>
    <w:tmpl w:val="AA28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B0AAF"/>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DC7246"/>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5701E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4213D9"/>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EDC17EB"/>
    <w:multiLevelType w:val="multilevel"/>
    <w:tmpl w:val="CAF49E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F47084E"/>
    <w:multiLevelType w:val="hybridMultilevel"/>
    <w:tmpl w:val="90C0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6"/>
  </w:num>
  <w:num w:numId="5">
    <w:abstractNumId w:val="12"/>
  </w:num>
  <w:num w:numId="6">
    <w:abstractNumId w:val="2"/>
  </w:num>
  <w:num w:numId="7">
    <w:abstractNumId w:val="13"/>
  </w:num>
  <w:num w:numId="8">
    <w:abstractNumId w:val="22"/>
  </w:num>
  <w:num w:numId="9">
    <w:abstractNumId w:val="7"/>
  </w:num>
  <w:num w:numId="10">
    <w:abstractNumId w:val="26"/>
  </w:num>
  <w:num w:numId="11">
    <w:abstractNumId w:val="1"/>
  </w:num>
  <w:num w:numId="12">
    <w:abstractNumId w:val="4"/>
  </w:num>
  <w:num w:numId="13">
    <w:abstractNumId w:val="14"/>
  </w:num>
  <w:num w:numId="14">
    <w:abstractNumId w:val="8"/>
  </w:num>
  <w:num w:numId="15">
    <w:abstractNumId w:val="5"/>
  </w:num>
  <w:num w:numId="16">
    <w:abstractNumId w:val="20"/>
  </w:num>
  <w:num w:numId="17">
    <w:abstractNumId w:val="0"/>
  </w:num>
  <w:num w:numId="18">
    <w:abstractNumId w:val="28"/>
  </w:num>
  <w:num w:numId="19">
    <w:abstractNumId w:val="27"/>
  </w:num>
  <w:num w:numId="20">
    <w:abstractNumId w:val="24"/>
  </w:num>
  <w:num w:numId="21">
    <w:abstractNumId w:val="29"/>
  </w:num>
  <w:num w:numId="22">
    <w:abstractNumId w:val="15"/>
  </w:num>
  <w:num w:numId="23">
    <w:abstractNumId w:val="23"/>
  </w:num>
  <w:num w:numId="24">
    <w:abstractNumId w:val="21"/>
  </w:num>
  <w:num w:numId="25">
    <w:abstractNumId w:val="16"/>
  </w:num>
  <w:num w:numId="26">
    <w:abstractNumId w:val="25"/>
  </w:num>
  <w:num w:numId="27">
    <w:abstractNumId w:val="9"/>
  </w:num>
  <w:num w:numId="28">
    <w:abstractNumId w:val="17"/>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A2"/>
    <w:rsid w:val="00012E5E"/>
    <w:rsid w:val="00025051"/>
    <w:rsid w:val="0002792B"/>
    <w:rsid w:val="00040E04"/>
    <w:rsid w:val="0004492D"/>
    <w:rsid w:val="00053394"/>
    <w:rsid w:val="00056CEA"/>
    <w:rsid w:val="00082669"/>
    <w:rsid w:val="000842F1"/>
    <w:rsid w:val="000A1CF5"/>
    <w:rsid w:val="000B21B7"/>
    <w:rsid w:val="000B3B14"/>
    <w:rsid w:val="000D3955"/>
    <w:rsid w:val="000E16C8"/>
    <w:rsid w:val="00103086"/>
    <w:rsid w:val="0011270B"/>
    <w:rsid w:val="00120E26"/>
    <w:rsid w:val="00121C24"/>
    <w:rsid w:val="00122E61"/>
    <w:rsid w:val="0013184B"/>
    <w:rsid w:val="00143070"/>
    <w:rsid w:val="00146E40"/>
    <w:rsid w:val="001634F9"/>
    <w:rsid w:val="001637FD"/>
    <w:rsid w:val="00174CBD"/>
    <w:rsid w:val="001774A2"/>
    <w:rsid w:val="0018008A"/>
    <w:rsid w:val="00196082"/>
    <w:rsid w:val="00197326"/>
    <w:rsid w:val="001A42CB"/>
    <w:rsid w:val="001B2B2A"/>
    <w:rsid w:val="001B7A51"/>
    <w:rsid w:val="001C4AED"/>
    <w:rsid w:val="001C4DF2"/>
    <w:rsid w:val="001E3477"/>
    <w:rsid w:val="001E5DC6"/>
    <w:rsid w:val="001E5DF3"/>
    <w:rsid w:val="001F224B"/>
    <w:rsid w:val="00207C5C"/>
    <w:rsid w:val="002125E1"/>
    <w:rsid w:val="00222C4B"/>
    <w:rsid w:val="0022738E"/>
    <w:rsid w:val="00230FD7"/>
    <w:rsid w:val="00231A8D"/>
    <w:rsid w:val="002439EA"/>
    <w:rsid w:val="0024629F"/>
    <w:rsid w:val="002508EA"/>
    <w:rsid w:val="00263CF0"/>
    <w:rsid w:val="002659E6"/>
    <w:rsid w:val="00270549"/>
    <w:rsid w:val="002753A1"/>
    <w:rsid w:val="00287AE3"/>
    <w:rsid w:val="00292ADA"/>
    <w:rsid w:val="002A27A9"/>
    <w:rsid w:val="002F2CFF"/>
    <w:rsid w:val="002F6880"/>
    <w:rsid w:val="0030252B"/>
    <w:rsid w:val="003116FE"/>
    <w:rsid w:val="0031437E"/>
    <w:rsid w:val="003156AD"/>
    <w:rsid w:val="0033631D"/>
    <w:rsid w:val="00351325"/>
    <w:rsid w:val="00354015"/>
    <w:rsid w:val="003627EC"/>
    <w:rsid w:val="0038296A"/>
    <w:rsid w:val="003860FC"/>
    <w:rsid w:val="0039459F"/>
    <w:rsid w:val="003A13D0"/>
    <w:rsid w:val="003A1F51"/>
    <w:rsid w:val="003A5FB8"/>
    <w:rsid w:val="003B05A1"/>
    <w:rsid w:val="003B14A5"/>
    <w:rsid w:val="003B2A75"/>
    <w:rsid w:val="003C354F"/>
    <w:rsid w:val="003D2A58"/>
    <w:rsid w:val="003D6171"/>
    <w:rsid w:val="003D74CE"/>
    <w:rsid w:val="003E4ED5"/>
    <w:rsid w:val="003F3840"/>
    <w:rsid w:val="003F4AA9"/>
    <w:rsid w:val="003F5374"/>
    <w:rsid w:val="00401652"/>
    <w:rsid w:val="00402A92"/>
    <w:rsid w:val="00433450"/>
    <w:rsid w:val="00470D99"/>
    <w:rsid w:val="004836E3"/>
    <w:rsid w:val="00485844"/>
    <w:rsid w:val="004865C7"/>
    <w:rsid w:val="00491FF6"/>
    <w:rsid w:val="004959EE"/>
    <w:rsid w:val="004B003E"/>
    <w:rsid w:val="004B43D1"/>
    <w:rsid w:val="004B7001"/>
    <w:rsid w:val="004C2F31"/>
    <w:rsid w:val="004E0447"/>
    <w:rsid w:val="004E31C3"/>
    <w:rsid w:val="0050496F"/>
    <w:rsid w:val="00511752"/>
    <w:rsid w:val="00511F5A"/>
    <w:rsid w:val="00512C30"/>
    <w:rsid w:val="00514683"/>
    <w:rsid w:val="00524FC8"/>
    <w:rsid w:val="00525A7F"/>
    <w:rsid w:val="00531C86"/>
    <w:rsid w:val="0053370D"/>
    <w:rsid w:val="00536FC9"/>
    <w:rsid w:val="00537902"/>
    <w:rsid w:val="00561F6A"/>
    <w:rsid w:val="00565EF5"/>
    <w:rsid w:val="00572FF6"/>
    <w:rsid w:val="00577880"/>
    <w:rsid w:val="005907CE"/>
    <w:rsid w:val="00592758"/>
    <w:rsid w:val="00596A1C"/>
    <w:rsid w:val="005B1AC1"/>
    <w:rsid w:val="005D1A99"/>
    <w:rsid w:val="005F061C"/>
    <w:rsid w:val="005F6A9F"/>
    <w:rsid w:val="00605D82"/>
    <w:rsid w:val="00606975"/>
    <w:rsid w:val="006243AA"/>
    <w:rsid w:val="00636A14"/>
    <w:rsid w:val="00652C77"/>
    <w:rsid w:val="006644E3"/>
    <w:rsid w:val="00667B19"/>
    <w:rsid w:val="00671E48"/>
    <w:rsid w:val="006770C3"/>
    <w:rsid w:val="00686492"/>
    <w:rsid w:val="0069050B"/>
    <w:rsid w:val="0069286C"/>
    <w:rsid w:val="006A6F4B"/>
    <w:rsid w:val="006B4082"/>
    <w:rsid w:val="006B43DF"/>
    <w:rsid w:val="006C2B13"/>
    <w:rsid w:val="006D01EE"/>
    <w:rsid w:val="007046BF"/>
    <w:rsid w:val="00716252"/>
    <w:rsid w:val="00720736"/>
    <w:rsid w:val="00724E9A"/>
    <w:rsid w:val="007328C8"/>
    <w:rsid w:val="00734DA8"/>
    <w:rsid w:val="00735C15"/>
    <w:rsid w:val="00744F48"/>
    <w:rsid w:val="00746A99"/>
    <w:rsid w:val="0075132C"/>
    <w:rsid w:val="00760F48"/>
    <w:rsid w:val="00781279"/>
    <w:rsid w:val="007A2ED4"/>
    <w:rsid w:val="007A5BD3"/>
    <w:rsid w:val="007A5D03"/>
    <w:rsid w:val="007B142F"/>
    <w:rsid w:val="007B1657"/>
    <w:rsid w:val="007C5592"/>
    <w:rsid w:val="007E49F5"/>
    <w:rsid w:val="007F2982"/>
    <w:rsid w:val="007F5F94"/>
    <w:rsid w:val="00811CA0"/>
    <w:rsid w:val="00815EBF"/>
    <w:rsid w:val="008263AF"/>
    <w:rsid w:val="008312E8"/>
    <w:rsid w:val="00833C89"/>
    <w:rsid w:val="00840DA3"/>
    <w:rsid w:val="00844644"/>
    <w:rsid w:val="00847510"/>
    <w:rsid w:val="00852EFC"/>
    <w:rsid w:val="008607A1"/>
    <w:rsid w:val="00874CE9"/>
    <w:rsid w:val="008762E8"/>
    <w:rsid w:val="00885A1A"/>
    <w:rsid w:val="00890FE2"/>
    <w:rsid w:val="008966C0"/>
    <w:rsid w:val="008A2D63"/>
    <w:rsid w:val="008A5B70"/>
    <w:rsid w:val="008B397F"/>
    <w:rsid w:val="008B461B"/>
    <w:rsid w:val="008B6066"/>
    <w:rsid w:val="008B6CAE"/>
    <w:rsid w:val="008D3BBB"/>
    <w:rsid w:val="008D5224"/>
    <w:rsid w:val="008E4A49"/>
    <w:rsid w:val="008E6EA0"/>
    <w:rsid w:val="008F6A7E"/>
    <w:rsid w:val="00912085"/>
    <w:rsid w:val="00913B9E"/>
    <w:rsid w:val="009156A3"/>
    <w:rsid w:val="00923B3D"/>
    <w:rsid w:val="00926F23"/>
    <w:rsid w:val="00937335"/>
    <w:rsid w:val="009477D5"/>
    <w:rsid w:val="00947AEA"/>
    <w:rsid w:val="00976318"/>
    <w:rsid w:val="00981038"/>
    <w:rsid w:val="00992F81"/>
    <w:rsid w:val="009A3D94"/>
    <w:rsid w:val="009A7074"/>
    <w:rsid w:val="009B6266"/>
    <w:rsid w:val="009D0595"/>
    <w:rsid w:val="009D1B42"/>
    <w:rsid w:val="009E49A7"/>
    <w:rsid w:val="009E6C42"/>
    <w:rsid w:val="009E6FAB"/>
    <w:rsid w:val="009E72E2"/>
    <w:rsid w:val="009F0724"/>
    <w:rsid w:val="009F20DC"/>
    <w:rsid w:val="009F796A"/>
    <w:rsid w:val="00A03090"/>
    <w:rsid w:val="00A053E8"/>
    <w:rsid w:val="00A13E8B"/>
    <w:rsid w:val="00A15DC3"/>
    <w:rsid w:val="00A24135"/>
    <w:rsid w:val="00A32FFC"/>
    <w:rsid w:val="00A424EA"/>
    <w:rsid w:val="00A55A2C"/>
    <w:rsid w:val="00A5632E"/>
    <w:rsid w:val="00A60ABD"/>
    <w:rsid w:val="00A615ED"/>
    <w:rsid w:val="00A625FF"/>
    <w:rsid w:val="00A6596D"/>
    <w:rsid w:val="00A65B62"/>
    <w:rsid w:val="00AB16EE"/>
    <w:rsid w:val="00AB1885"/>
    <w:rsid w:val="00AB2877"/>
    <w:rsid w:val="00AC4EE3"/>
    <w:rsid w:val="00AD188B"/>
    <w:rsid w:val="00AD6807"/>
    <w:rsid w:val="00AE6238"/>
    <w:rsid w:val="00AE7634"/>
    <w:rsid w:val="00AF55BD"/>
    <w:rsid w:val="00B05F6F"/>
    <w:rsid w:val="00B1233A"/>
    <w:rsid w:val="00B14487"/>
    <w:rsid w:val="00B55E07"/>
    <w:rsid w:val="00B56DD9"/>
    <w:rsid w:val="00B61F93"/>
    <w:rsid w:val="00B7562F"/>
    <w:rsid w:val="00B77FFC"/>
    <w:rsid w:val="00B87CA4"/>
    <w:rsid w:val="00BC09A2"/>
    <w:rsid w:val="00BD4C36"/>
    <w:rsid w:val="00BD5A7E"/>
    <w:rsid w:val="00BD68E2"/>
    <w:rsid w:val="00BE3F9E"/>
    <w:rsid w:val="00C15579"/>
    <w:rsid w:val="00C36E39"/>
    <w:rsid w:val="00C426F1"/>
    <w:rsid w:val="00C42D3E"/>
    <w:rsid w:val="00C616B8"/>
    <w:rsid w:val="00C64F25"/>
    <w:rsid w:val="00C66F88"/>
    <w:rsid w:val="00C701A7"/>
    <w:rsid w:val="00C749A0"/>
    <w:rsid w:val="00C75A66"/>
    <w:rsid w:val="00C90DB2"/>
    <w:rsid w:val="00C955EB"/>
    <w:rsid w:val="00CA28A7"/>
    <w:rsid w:val="00CA70E0"/>
    <w:rsid w:val="00CB73DE"/>
    <w:rsid w:val="00CF107F"/>
    <w:rsid w:val="00CF4AC0"/>
    <w:rsid w:val="00CF66D2"/>
    <w:rsid w:val="00CF745A"/>
    <w:rsid w:val="00CF74D9"/>
    <w:rsid w:val="00D068FC"/>
    <w:rsid w:val="00D0796A"/>
    <w:rsid w:val="00D10393"/>
    <w:rsid w:val="00D114B7"/>
    <w:rsid w:val="00D422AE"/>
    <w:rsid w:val="00D47256"/>
    <w:rsid w:val="00D534AE"/>
    <w:rsid w:val="00D72230"/>
    <w:rsid w:val="00D750B4"/>
    <w:rsid w:val="00D77ED6"/>
    <w:rsid w:val="00D84175"/>
    <w:rsid w:val="00DA6D6B"/>
    <w:rsid w:val="00DC683E"/>
    <w:rsid w:val="00DC6DE7"/>
    <w:rsid w:val="00DD118F"/>
    <w:rsid w:val="00DD3D05"/>
    <w:rsid w:val="00DE127F"/>
    <w:rsid w:val="00DE2F88"/>
    <w:rsid w:val="00DE3092"/>
    <w:rsid w:val="00DE4B6A"/>
    <w:rsid w:val="00DF441B"/>
    <w:rsid w:val="00DF5CC0"/>
    <w:rsid w:val="00E10121"/>
    <w:rsid w:val="00E133EF"/>
    <w:rsid w:val="00E170AC"/>
    <w:rsid w:val="00E203EF"/>
    <w:rsid w:val="00E21E5C"/>
    <w:rsid w:val="00E47294"/>
    <w:rsid w:val="00E522F8"/>
    <w:rsid w:val="00E56AF4"/>
    <w:rsid w:val="00E60538"/>
    <w:rsid w:val="00E61AF1"/>
    <w:rsid w:val="00E74E52"/>
    <w:rsid w:val="00E76F5C"/>
    <w:rsid w:val="00EA736C"/>
    <w:rsid w:val="00EB3A98"/>
    <w:rsid w:val="00EB7E80"/>
    <w:rsid w:val="00EC1BBA"/>
    <w:rsid w:val="00ED5254"/>
    <w:rsid w:val="00ED52A7"/>
    <w:rsid w:val="00ED7F08"/>
    <w:rsid w:val="00EE222D"/>
    <w:rsid w:val="00EE5931"/>
    <w:rsid w:val="00EE6D14"/>
    <w:rsid w:val="00F039CC"/>
    <w:rsid w:val="00F068CD"/>
    <w:rsid w:val="00F10851"/>
    <w:rsid w:val="00F17D22"/>
    <w:rsid w:val="00F22EE4"/>
    <w:rsid w:val="00F24C11"/>
    <w:rsid w:val="00F404F7"/>
    <w:rsid w:val="00F53A65"/>
    <w:rsid w:val="00F55A27"/>
    <w:rsid w:val="00F80842"/>
    <w:rsid w:val="00F85B96"/>
    <w:rsid w:val="00F94B2C"/>
    <w:rsid w:val="00FB2D25"/>
    <w:rsid w:val="00FB3AE2"/>
    <w:rsid w:val="00FB3DBF"/>
    <w:rsid w:val="00FC741D"/>
    <w:rsid w:val="00FF6CD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80"/>
  </w:style>
  <w:style w:type="paragraph" w:styleId="Heading5">
    <w:name w:val="heading 5"/>
    <w:basedOn w:val="Normal"/>
    <w:link w:val="Heading5Char"/>
    <w:uiPriority w:val="9"/>
    <w:qFormat/>
    <w:rsid w:val="001F22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62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38"/>
    <w:rPr>
      <w:rFonts w:ascii="Tahoma" w:hAnsi="Tahoma" w:cs="Tahoma"/>
      <w:sz w:val="16"/>
      <w:szCs w:val="16"/>
    </w:rPr>
  </w:style>
  <w:style w:type="paragraph" w:customStyle="1" w:styleId="Default">
    <w:name w:val="Default"/>
    <w:rsid w:val="00511F5A"/>
    <w:pPr>
      <w:widowControl w:val="0"/>
      <w:autoSpaceDE w:val="0"/>
      <w:autoSpaceDN w:val="0"/>
      <w:adjustRightInd w:val="0"/>
      <w:spacing w:after="0" w:line="240" w:lineRule="auto"/>
    </w:pPr>
    <w:rPr>
      <w:rFonts w:ascii="Calibri" w:eastAsia="MS Mincho" w:hAnsi="Calibri" w:cs="Calibri"/>
      <w:color w:val="000000"/>
      <w:sz w:val="24"/>
      <w:szCs w:val="24"/>
    </w:rPr>
  </w:style>
  <w:style w:type="paragraph" w:styleId="ListParagraph">
    <w:name w:val="List Paragraph"/>
    <w:basedOn w:val="Normal"/>
    <w:uiPriority w:val="34"/>
    <w:qFormat/>
    <w:rsid w:val="00E74E52"/>
    <w:pPr>
      <w:ind w:left="720"/>
      <w:contextualSpacing/>
    </w:pPr>
  </w:style>
  <w:style w:type="table" w:styleId="TableGrid">
    <w:name w:val="Table Grid"/>
    <w:basedOn w:val="TableNormal"/>
    <w:uiPriority w:val="59"/>
    <w:rsid w:val="00E74E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4E52"/>
    <w:rPr>
      <w:sz w:val="16"/>
      <w:szCs w:val="16"/>
    </w:rPr>
  </w:style>
  <w:style w:type="paragraph" w:styleId="CommentText">
    <w:name w:val="annotation text"/>
    <w:basedOn w:val="Normal"/>
    <w:link w:val="CommentTextChar"/>
    <w:uiPriority w:val="99"/>
    <w:semiHidden/>
    <w:unhideWhenUsed/>
    <w:rsid w:val="00E74E52"/>
    <w:pPr>
      <w:spacing w:line="240" w:lineRule="auto"/>
    </w:pPr>
    <w:rPr>
      <w:sz w:val="20"/>
      <w:szCs w:val="20"/>
    </w:rPr>
  </w:style>
  <w:style w:type="character" w:customStyle="1" w:styleId="CommentTextChar">
    <w:name w:val="Comment Text Char"/>
    <w:basedOn w:val="DefaultParagraphFont"/>
    <w:link w:val="CommentText"/>
    <w:uiPriority w:val="99"/>
    <w:semiHidden/>
    <w:rsid w:val="00E74E52"/>
    <w:rPr>
      <w:sz w:val="20"/>
      <w:szCs w:val="20"/>
    </w:rPr>
  </w:style>
  <w:style w:type="paragraph" w:styleId="Header">
    <w:name w:val="header"/>
    <w:basedOn w:val="Normal"/>
    <w:link w:val="HeaderChar"/>
    <w:uiPriority w:val="99"/>
    <w:unhideWhenUsed/>
    <w:rsid w:val="00B7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2F"/>
  </w:style>
  <w:style w:type="paragraph" w:styleId="Footer">
    <w:name w:val="footer"/>
    <w:basedOn w:val="Normal"/>
    <w:link w:val="FooterChar"/>
    <w:uiPriority w:val="99"/>
    <w:unhideWhenUsed/>
    <w:rsid w:val="00B7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2F"/>
  </w:style>
  <w:style w:type="character" w:customStyle="1" w:styleId="Heading5Char">
    <w:name w:val="Heading 5 Char"/>
    <w:basedOn w:val="DefaultParagraphFont"/>
    <w:link w:val="Heading5"/>
    <w:uiPriority w:val="9"/>
    <w:rsid w:val="001F22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4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A49"/>
    <w:rPr>
      <w:color w:val="0000FF"/>
      <w:u w:val="single"/>
    </w:rPr>
  </w:style>
  <w:style w:type="paragraph" w:customStyle="1" w:styleId="Pa0">
    <w:name w:val="Pa0"/>
    <w:basedOn w:val="Default"/>
    <w:next w:val="Default"/>
    <w:uiPriority w:val="99"/>
    <w:rsid w:val="00667B19"/>
    <w:pPr>
      <w:widowControl/>
      <w:spacing w:line="241" w:lineRule="atLeast"/>
    </w:pPr>
    <w:rPr>
      <w:rFonts w:ascii="Akzidenz Grotesk BE Regular" w:eastAsiaTheme="minorHAnsi" w:hAnsi="Akzidenz Grotesk BE Regular" w:cstheme="minorBidi"/>
      <w:color w:val="auto"/>
    </w:rPr>
  </w:style>
  <w:style w:type="character" w:customStyle="1" w:styleId="A1">
    <w:name w:val="A1"/>
    <w:uiPriority w:val="99"/>
    <w:rsid w:val="00667B19"/>
    <w:rPr>
      <w:rFonts w:cs="Akzidenz Grotesk BE Regular"/>
      <w:color w:val="000000"/>
      <w:sz w:val="22"/>
      <w:szCs w:val="22"/>
    </w:rPr>
  </w:style>
  <w:style w:type="character" w:customStyle="1" w:styleId="A2">
    <w:name w:val="A2"/>
    <w:uiPriority w:val="99"/>
    <w:rsid w:val="0069050B"/>
    <w:rPr>
      <w:rFonts w:cs="Akzidenz Grotesk BE Regular"/>
      <w:color w:val="000000"/>
      <w:sz w:val="22"/>
      <w:szCs w:val="22"/>
    </w:rPr>
  </w:style>
  <w:style w:type="paragraph" w:styleId="FootnoteText">
    <w:name w:val="footnote text"/>
    <w:basedOn w:val="Normal"/>
    <w:link w:val="FootnoteTextChar"/>
    <w:uiPriority w:val="99"/>
    <w:unhideWhenUsed/>
    <w:rsid w:val="001C4AED"/>
    <w:pPr>
      <w:spacing w:after="0" w:line="240" w:lineRule="auto"/>
    </w:pPr>
    <w:rPr>
      <w:sz w:val="20"/>
      <w:szCs w:val="20"/>
    </w:rPr>
  </w:style>
  <w:style w:type="character" w:customStyle="1" w:styleId="FootnoteTextChar">
    <w:name w:val="Footnote Text Char"/>
    <w:basedOn w:val="DefaultParagraphFont"/>
    <w:link w:val="FootnoteText"/>
    <w:uiPriority w:val="99"/>
    <w:rsid w:val="001C4AED"/>
    <w:rPr>
      <w:sz w:val="20"/>
      <w:szCs w:val="20"/>
    </w:rPr>
  </w:style>
  <w:style w:type="character" w:styleId="FootnoteReference">
    <w:name w:val="footnote reference"/>
    <w:basedOn w:val="DefaultParagraphFont"/>
    <w:uiPriority w:val="99"/>
    <w:unhideWhenUsed/>
    <w:rsid w:val="001C4AED"/>
    <w:rPr>
      <w:vertAlign w:val="superscript"/>
    </w:rPr>
  </w:style>
  <w:style w:type="paragraph" w:styleId="HTMLPreformatted">
    <w:name w:val="HTML Preformatted"/>
    <w:basedOn w:val="Normal"/>
    <w:link w:val="HTMLPreformattedChar"/>
    <w:uiPriority w:val="99"/>
    <w:unhideWhenUsed/>
    <w:rsid w:val="001C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C4AED"/>
    <w:rPr>
      <w:rFonts w:ascii="Courier New" w:eastAsia="Times New Roman"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1C4AED"/>
    <w:rPr>
      <w:b/>
      <w:bCs/>
    </w:rPr>
  </w:style>
  <w:style w:type="character" w:customStyle="1" w:styleId="CommentSubjectChar">
    <w:name w:val="Comment Subject Char"/>
    <w:basedOn w:val="CommentTextChar"/>
    <w:link w:val="CommentSubject"/>
    <w:uiPriority w:val="99"/>
    <w:semiHidden/>
    <w:rsid w:val="001C4AED"/>
    <w:rPr>
      <w:b/>
      <w:bCs/>
      <w:sz w:val="20"/>
      <w:szCs w:val="20"/>
    </w:rPr>
  </w:style>
  <w:style w:type="character" w:customStyle="1" w:styleId="apple-converted-space">
    <w:name w:val="apple-converted-space"/>
    <w:basedOn w:val="DefaultParagraphFont"/>
    <w:rsid w:val="00D534AE"/>
  </w:style>
  <w:style w:type="character" w:styleId="Emphasis">
    <w:name w:val="Emphasis"/>
    <w:basedOn w:val="DefaultParagraphFont"/>
    <w:uiPriority w:val="20"/>
    <w:qFormat/>
    <w:rsid w:val="00FB3DBF"/>
    <w:rPr>
      <w:i/>
      <w:iCs/>
    </w:rPr>
  </w:style>
  <w:style w:type="character" w:styleId="Strong">
    <w:name w:val="Strong"/>
    <w:basedOn w:val="DefaultParagraphFont"/>
    <w:uiPriority w:val="22"/>
    <w:qFormat/>
    <w:rsid w:val="00FB3D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80"/>
  </w:style>
  <w:style w:type="paragraph" w:styleId="Heading5">
    <w:name w:val="heading 5"/>
    <w:basedOn w:val="Normal"/>
    <w:link w:val="Heading5Char"/>
    <w:uiPriority w:val="9"/>
    <w:qFormat/>
    <w:rsid w:val="001F22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62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238"/>
    <w:rPr>
      <w:rFonts w:ascii="Tahoma" w:hAnsi="Tahoma" w:cs="Tahoma"/>
      <w:sz w:val="16"/>
      <w:szCs w:val="16"/>
    </w:rPr>
  </w:style>
  <w:style w:type="paragraph" w:customStyle="1" w:styleId="Default">
    <w:name w:val="Default"/>
    <w:rsid w:val="00511F5A"/>
    <w:pPr>
      <w:widowControl w:val="0"/>
      <w:autoSpaceDE w:val="0"/>
      <w:autoSpaceDN w:val="0"/>
      <w:adjustRightInd w:val="0"/>
      <w:spacing w:after="0" w:line="240" w:lineRule="auto"/>
    </w:pPr>
    <w:rPr>
      <w:rFonts w:ascii="Calibri" w:eastAsia="MS Mincho" w:hAnsi="Calibri" w:cs="Calibri"/>
      <w:color w:val="000000"/>
      <w:sz w:val="24"/>
      <w:szCs w:val="24"/>
    </w:rPr>
  </w:style>
  <w:style w:type="paragraph" w:styleId="ListParagraph">
    <w:name w:val="List Paragraph"/>
    <w:basedOn w:val="Normal"/>
    <w:uiPriority w:val="34"/>
    <w:qFormat/>
    <w:rsid w:val="00E74E52"/>
    <w:pPr>
      <w:ind w:left="720"/>
      <w:contextualSpacing/>
    </w:pPr>
  </w:style>
  <w:style w:type="table" w:styleId="TableGrid">
    <w:name w:val="Table Grid"/>
    <w:basedOn w:val="TableNormal"/>
    <w:uiPriority w:val="59"/>
    <w:rsid w:val="00E74E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4E52"/>
    <w:rPr>
      <w:sz w:val="16"/>
      <w:szCs w:val="16"/>
    </w:rPr>
  </w:style>
  <w:style w:type="paragraph" w:styleId="CommentText">
    <w:name w:val="annotation text"/>
    <w:basedOn w:val="Normal"/>
    <w:link w:val="CommentTextChar"/>
    <w:uiPriority w:val="99"/>
    <w:semiHidden/>
    <w:unhideWhenUsed/>
    <w:rsid w:val="00E74E52"/>
    <w:pPr>
      <w:spacing w:line="240" w:lineRule="auto"/>
    </w:pPr>
    <w:rPr>
      <w:sz w:val="20"/>
      <w:szCs w:val="20"/>
    </w:rPr>
  </w:style>
  <w:style w:type="character" w:customStyle="1" w:styleId="CommentTextChar">
    <w:name w:val="Comment Text Char"/>
    <w:basedOn w:val="DefaultParagraphFont"/>
    <w:link w:val="CommentText"/>
    <w:uiPriority w:val="99"/>
    <w:semiHidden/>
    <w:rsid w:val="00E74E52"/>
    <w:rPr>
      <w:sz w:val="20"/>
      <w:szCs w:val="20"/>
    </w:rPr>
  </w:style>
  <w:style w:type="paragraph" w:styleId="Header">
    <w:name w:val="header"/>
    <w:basedOn w:val="Normal"/>
    <w:link w:val="HeaderChar"/>
    <w:uiPriority w:val="99"/>
    <w:unhideWhenUsed/>
    <w:rsid w:val="00B7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2F"/>
  </w:style>
  <w:style w:type="paragraph" w:styleId="Footer">
    <w:name w:val="footer"/>
    <w:basedOn w:val="Normal"/>
    <w:link w:val="FooterChar"/>
    <w:uiPriority w:val="99"/>
    <w:unhideWhenUsed/>
    <w:rsid w:val="00B7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2F"/>
  </w:style>
  <w:style w:type="character" w:customStyle="1" w:styleId="Heading5Char">
    <w:name w:val="Heading 5 Char"/>
    <w:basedOn w:val="DefaultParagraphFont"/>
    <w:link w:val="Heading5"/>
    <w:uiPriority w:val="9"/>
    <w:rsid w:val="001F22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4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A49"/>
    <w:rPr>
      <w:color w:val="0000FF"/>
      <w:u w:val="single"/>
    </w:rPr>
  </w:style>
  <w:style w:type="paragraph" w:customStyle="1" w:styleId="Pa0">
    <w:name w:val="Pa0"/>
    <w:basedOn w:val="Default"/>
    <w:next w:val="Default"/>
    <w:uiPriority w:val="99"/>
    <w:rsid w:val="00667B19"/>
    <w:pPr>
      <w:widowControl/>
      <w:spacing w:line="241" w:lineRule="atLeast"/>
    </w:pPr>
    <w:rPr>
      <w:rFonts w:ascii="Akzidenz Grotesk BE Regular" w:eastAsiaTheme="minorHAnsi" w:hAnsi="Akzidenz Grotesk BE Regular" w:cstheme="minorBidi"/>
      <w:color w:val="auto"/>
    </w:rPr>
  </w:style>
  <w:style w:type="character" w:customStyle="1" w:styleId="A1">
    <w:name w:val="A1"/>
    <w:uiPriority w:val="99"/>
    <w:rsid w:val="00667B19"/>
    <w:rPr>
      <w:rFonts w:cs="Akzidenz Grotesk BE Regular"/>
      <w:color w:val="000000"/>
      <w:sz w:val="22"/>
      <w:szCs w:val="22"/>
    </w:rPr>
  </w:style>
  <w:style w:type="character" w:customStyle="1" w:styleId="A2">
    <w:name w:val="A2"/>
    <w:uiPriority w:val="99"/>
    <w:rsid w:val="0069050B"/>
    <w:rPr>
      <w:rFonts w:cs="Akzidenz Grotesk BE Regular"/>
      <w:color w:val="000000"/>
      <w:sz w:val="22"/>
      <w:szCs w:val="22"/>
    </w:rPr>
  </w:style>
  <w:style w:type="paragraph" w:styleId="FootnoteText">
    <w:name w:val="footnote text"/>
    <w:basedOn w:val="Normal"/>
    <w:link w:val="FootnoteTextChar"/>
    <w:uiPriority w:val="99"/>
    <w:unhideWhenUsed/>
    <w:rsid w:val="001C4AED"/>
    <w:pPr>
      <w:spacing w:after="0" w:line="240" w:lineRule="auto"/>
    </w:pPr>
    <w:rPr>
      <w:sz w:val="20"/>
      <w:szCs w:val="20"/>
    </w:rPr>
  </w:style>
  <w:style w:type="character" w:customStyle="1" w:styleId="FootnoteTextChar">
    <w:name w:val="Footnote Text Char"/>
    <w:basedOn w:val="DefaultParagraphFont"/>
    <w:link w:val="FootnoteText"/>
    <w:uiPriority w:val="99"/>
    <w:rsid w:val="001C4AED"/>
    <w:rPr>
      <w:sz w:val="20"/>
      <w:szCs w:val="20"/>
    </w:rPr>
  </w:style>
  <w:style w:type="character" w:styleId="FootnoteReference">
    <w:name w:val="footnote reference"/>
    <w:basedOn w:val="DefaultParagraphFont"/>
    <w:uiPriority w:val="99"/>
    <w:unhideWhenUsed/>
    <w:rsid w:val="001C4AED"/>
    <w:rPr>
      <w:vertAlign w:val="superscript"/>
    </w:rPr>
  </w:style>
  <w:style w:type="paragraph" w:styleId="HTMLPreformatted">
    <w:name w:val="HTML Preformatted"/>
    <w:basedOn w:val="Normal"/>
    <w:link w:val="HTMLPreformattedChar"/>
    <w:uiPriority w:val="99"/>
    <w:unhideWhenUsed/>
    <w:rsid w:val="001C4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C4AED"/>
    <w:rPr>
      <w:rFonts w:ascii="Courier New" w:eastAsia="Times New Roman"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1C4AED"/>
    <w:rPr>
      <w:b/>
      <w:bCs/>
    </w:rPr>
  </w:style>
  <w:style w:type="character" w:customStyle="1" w:styleId="CommentSubjectChar">
    <w:name w:val="Comment Subject Char"/>
    <w:basedOn w:val="CommentTextChar"/>
    <w:link w:val="CommentSubject"/>
    <w:uiPriority w:val="99"/>
    <w:semiHidden/>
    <w:rsid w:val="001C4AED"/>
    <w:rPr>
      <w:b/>
      <w:bCs/>
      <w:sz w:val="20"/>
      <w:szCs w:val="20"/>
    </w:rPr>
  </w:style>
  <w:style w:type="character" w:customStyle="1" w:styleId="apple-converted-space">
    <w:name w:val="apple-converted-space"/>
    <w:basedOn w:val="DefaultParagraphFont"/>
    <w:rsid w:val="00D534AE"/>
  </w:style>
  <w:style w:type="character" w:styleId="Emphasis">
    <w:name w:val="Emphasis"/>
    <w:basedOn w:val="DefaultParagraphFont"/>
    <w:uiPriority w:val="20"/>
    <w:qFormat/>
    <w:rsid w:val="00FB3DBF"/>
    <w:rPr>
      <w:i/>
      <w:iCs/>
    </w:rPr>
  </w:style>
  <w:style w:type="character" w:styleId="Strong">
    <w:name w:val="Strong"/>
    <w:basedOn w:val="DefaultParagraphFont"/>
    <w:uiPriority w:val="22"/>
    <w:qFormat/>
    <w:rsid w:val="00FB3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7876">
      <w:bodyDiv w:val="1"/>
      <w:marLeft w:val="0"/>
      <w:marRight w:val="0"/>
      <w:marTop w:val="0"/>
      <w:marBottom w:val="0"/>
      <w:divBdr>
        <w:top w:val="none" w:sz="0" w:space="0" w:color="auto"/>
        <w:left w:val="none" w:sz="0" w:space="0" w:color="auto"/>
        <w:bottom w:val="none" w:sz="0" w:space="0" w:color="auto"/>
        <w:right w:val="none" w:sz="0" w:space="0" w:color="auto"/>
      </w:divBdr>
    </w:div>
    <w:div w:id="270936886">
      <w:bodyDiv w:val="1"/>
      <w:marLeft w:val="0"/>
      <w:marRight w:val="0"/>
      <w:marTop w:val="0"/>
      <w:marBottom w:val="0"/>
      <w:divBdr>
        <w:top w:val="none" w:sz="0" w:space="0" w:color="auto"/>
        <w:left w:val="none" w:sz="0" w:space="0" w:color="auto"/>
        <w:bottom w:val="none" w:sz="0" w:space="0" w:color="auto"/>
        <w:right w:val="none" w:sz="0" w:space="0" w:color="auto"/>
      </w:divBdr>
    </w:div>
    <w:div w:id="407311099">
      <w:bodyDiv w:val="1"/>
      <w:marLeft w:val="0"/>
      <w:marRight w:val="0"/>
      <w:marTop w:val="0"/>
      <w:marBottom w:val="0"/>
      <w:divBdr>
        <w:top w:val="none" w:sz="0" w:space="0" w:color="auto"/>
        <w:left w:val="none" w:sz="0" w:space="0" w:color="auto"/>
        <w:bottom w:val="none" w:sz="0" w:space="0" w:color="auto"/>
        <w:right w:val="none" w:sz="0" w:space="0" w:color="auto"/>
      </w:divBdr>
    </w:div>
    <w:div w:id="638152044">
      <w:bodyDiv w:val="1"/>
      <w:marLeft w:val="0"/>
      <w:marRight w:val="0"/>
      <w:marTop w:val="0"/>
      <w:marBottom w:val="0"/>
      <w:divBdr>
        <w:top w:val="none" w:sz="0" w:space="0" w:color="auto"/>
        <w:left w:val="none" w:sz="0" w:space="0" w:color="auto"/>
        <w:bottom w:val="none" w:sz="0" w:space="0" w:color="auto"/>
        <w:right w:val="none" w:sz="0" w:space="0" w:color="auto"/>
      </w:divBdr>
    </w:div>
    <w:div w:id="701323800">
      <w:bodyDiv w:val="1"/>
      <w:marLeft w:val="0"/>
      <w:marRight w:val="0"/>
      <w:marTop w:val="0"/>
      <w:marBottom w:val="0"/>
      <w:divBdr>
        <w:top w:val="none" w:sz="0" w:space="0" w:color="auto"/>
        <w:left w:val="none" w:sz="0" w:space="0" w:color="auto"/>
        <w:bottom w:val="none" w:sz="0" w:space="0" w:color="auto"/>
        <w:right w:val="none" w:sz="0" w:space="0" w:color="auto"/>
      </w:divBdr>
    </w:div>
    <w:div w:id="714626065">
      <w:bodyDiv w:val="1"/>
      <w:marLeft w:val="0"/>
      <w:marRight w:val="0"/>
      <w:marTop w:val="0"/>
      <w:marBottom w:val="0"/>
      <w:divBdr>
        <w:top w:val="none" w:sz="0" w:space="0" w:color="auto"/>
        <w:left w:val="none" w:sz="0" w:space="0" w:color="auto"/>
        <w:bottom w:val="none" w:sz="0" w:space="0" w:color="auto"/>
        <w:right w:val="none" w:sz="0" w:space="0" w:color="auto"/>
      </w:divBdr>
      <w:divsChild>
        <w:div w:id="808591313">
          <w:marLeft w:val="2853"/>
          <w:marRight w:val="0"/>
          <w:marTop w:val="0"/>
          <w:marBottom w:val="0"/>
          <w:divBdr>
            <w:top w:val="none" w:sz="0" w:space="0" w:color="auto"/>
            <w:left w:val="none" w:sz="0" w:space="0" w:color="auto"/>
            <w:bottom w:val="none" w:sz="0" w:space="0" w:color="auto"/>
            <w:right w:val="none" w:sz="0" w:space="0" w:color="auto"/>
          </w:divBdr>
          <w:divsChild>
            <w:div w:id="1508472731">
              <w:marLeft w:val="136"/>
              <w:marRight w:val="136"/>
              <w:marTop w:val="136"/>
              <w:marBottom w:val="136"/>
              <w:divBdr>
                <w:top w:val="single" w:sz="6" w:space="0" w:color="93092D"/>
                <w:left w:val="single" w:sz="6" w:space="3" w:color="93092D"/>
                <w:bottom w:val="single" w:sz="6" w:space="3" w:color="93092D"/>
                <w:right w:val="single" w:sz="6" w:space="3" w:color="93092D"/>
              </w:divBdr>
            </w:div>
          </w:divsChild>
        </w:div>
      </w:divsChild>
    </w:div>
    <w:div w:id="752892477">
      <w:bodyDiv w:val="1"/>
      <w:marLeft w:val="0"/>
      <w:marRight w:val="0"/>
      <w:marTop w:val="0"/>
      <w:marBottom w:val="0"/>
      <w:divBdr>
        <w:top w:val="none" w:sz="0" w:space="0" w:color="auto"/>
        <w:left w:val="none" w:sz="0" w:space="0" w:color="auto"/>
        <w:bottom w:val="none" w:sz="0" w:space="0" w:color="auto"/>
        <w:right w:val="none" w:sz="0" w:space="0" w:color="auto"/>
      </w:divBdr>
    </w:div>
    <w:div w:id="756513221">
      <w:bodyDiv w:val="1"/>
      <w:marLeft w:val="0"/>
      <w:marRight w:val="0"/>
      <w:marTop w:val="0"/>
      <w:marBottom w:val="0"/>
      <w:divBdr>
        <w:top w:val="none" w:sz="0" w:space="0" w:color="auto"/>
        <w:left w:val="none" w:sz="0" w:space="0" w:color="auto"/>
        <w:bottom w:val="none" w:sz="0" w:space="0" w:color="auto"/>
        <w:right w:val="none" w:sz="0" w:space="0" w:color="auto"/>
      </w:divBdr>
    </w:div>
    <w:div w:id="804664252">
      <w:bodyDiv w:val="1"/>
      <w:marLeft w:val="0"/>
      <w:marRight w:val="0"/>
      <w:marTop w:val="0"/>
      <w:marBottom w:val="0"/>
      <w:divBdr>
        <w:top w:val="none" w:sz="0" w:space="0" w:color="auto"/>
        <w:left w:val="none" w:sz="0" w:space="0" w:color="auto"/>
        <w:bottom w:val="none" w:sz="0" w:space="0" w:color="auto"/>
        <w:right w:val="none" w:sz="0" w:space="0" w:color="auto"/>
      </w:divBdr>
    </w:div>
    <w:div w:id="1126240031">
      <w:bodyDiv w:val="1"/>
      <w:marLeft w:val="0"/>
      <w:marRight w:val="0"/>
      <w:marTop w:val="0"/>
      <w:marBottom w:val="0"/>
      <w:divBdr>
        <w:top w:val="none" w:sz="0" w:space="0" w:color="auto"/>
        <w:left w:val="none" w:sz="0" w:space="0" w:color="auto"/>
        <w:bottom w:val="none" w:sz="0" w:space="0" w:color="auto"/>
        <w:right w:val="none" w:sz="0" w:space="0" w:color="auto"/>
      </w:divBdr>
    </w:div>
    <w:div w:id="1186560505">
      <w:bodyDiv w:val="1"/>
      <w:marLeft w:val="0"/>
      <w:marRight w:val="0"/>
      <w:marTop w:val="0"/>
      <w:marBottom w:val="0"/>
      <w:divBdr>
        <w:top w:val="none" w:sz="0" w:space="0" w:color="auto"/>
        <w:left w:val="none" w:sz="0" w:space="0" w:color="auto"/>
        <w:bottom w:val="none" w:sz="0" w:space="0" w:color="auto"/>
        <w:right w:val="none" w:sz="0" w:space="0" w:color="auto"/>
      </w:divBdr>
    </w:div>
    <w:div w:id="1483085002">
      <w:bodyDiv w:val="1"/>
      <w:marLeft w:val="0"/>
      <w:marRight w:val="0"/>
      <w:marTop w:val="0"/>
      <w:marBottom w:val="0"/>
      <w:divBdr>
        <w:top w:val="none" w:sz="0" w:space="0" w:color="auto"/>
        <w:left w:val="none" w:sz="0" w:space="0" w:color="auto"/>
        <w:bottom w:val="none" w:sz="0" w:space="0" w:color="auto"/>
        <w:right w:val="none" w:sz="0" w:space="0" w:color="auto"/>
      </w:divBdr>
    </w:div>
    <w:div w:id="1572765468">
      <w:bodyDiv w:val="1"/>
      <w:marLeft w:val="0"/>
      <w:marRight w:val="0"/>
      <w:marTop w:val="0"/>
      <w:marBottom w:val="0"/>
      <w:divBdr>
        <w:top w:val="none" w:sz="0" w:space="0" w:color="auto"/>
        <w:left w:val="none" w:sz="0" w:space="0" w:color="auto"/>
        <w:bottom w:val="none" w:sz="0" w:space="0" w:color="auto"/>
        <w:right w:val="none" w:sz="0" w:space="0" w:color="auto"/>
      </w:divBdr>
      <w:divsChild>
        <w:div w:id="1981417548">
          <w:marLeft w:val="0"/>
          <w:marRight w:val="0"/>
          <w:marTop w:val="0"/>
          <w:marBottom w:val="0"/>
          <w:divBdr>
            <w:top w:val="none" w:sz="0" w:space="0" w:color="auto"/>
            <w:left w:val="none" w:sz="0" w:space="0" w:color="auto"/>
            <w:bottom w:val="none" w:sz="0" w:space="0" w:color="auto"/>
            <w:right w:val="none" w:sz="0" w:space="0" w:color="auto"/>
          </w:divBdr>
        </w:div>
        <w:div w:id="1418673902">
          <w:marLeft w:val="0"/>
          <w:marRight w:val="0"/>
          <w:marTop w:val="0"/>
          <w:marBottom w:val="0"/>
          <w:divBdr>
            <w:top w:val="none" w:sz="0" w:space="0" w:color="auto"/>
            <w:left w:val="none" w:sz="0" w:space="0" w:color="auto"/>
            <w:bottom w:val="none" w:sz="0" w:space="0" w:color="auto"/>
            <w:right w:val="none" w:sz="0" w:space="0" w:color="auto"/>
          </w:divBdr>
        </w:div>
        <w:div w:id="1188833355">
          <w:marLeft w:val="0"/>
          <w:marRight w:val="0"/>
          <w:marTop w:val="0"/>
          <w:marBottom w:val="0"/>
          <w:divBdr>
            <w:top w:val="none" w:sz="0" w:space="0" w:color="auto"/>
            <w:left w:val="none" w:sz="0" w:space="0" w:color="auto"/>
            <w:bottom w:val="none" w:sz="0" w:space="0" w:color="auto"/>
            <w:right w:val="none" w:sz="0" w:space="0" w:color="auto"/>
          </w:divBdr>
        </w:div>
        <w:div w:id="1296525010">
          <w:marLeft w:val="0"/>
          <w:marRight w:val="0"/>
          <w:marTop w:val="0"/>
          <w:marBottom w:val="0"/>
          <w:divBdr>
            <w:top w:val="none" w:sz="0" w:space="0" w:color="auto"/>
            <w:left w:val="none" w:sz="0" w:space="0" w:color="auto"/>
            <w:bottom w:val="none" w:sz="0" w:space="0" w:color="auto"/>
            <w:right w:val="none" w:sz="0" w:space="0" w:color="auto"/>
          </w:divBdr>
        </w:div>
        <w:div w:id="636882497">
          <w:marLeft w:val="0"/>
          <w:marRight w:val="0"/>
          <w:marTop w:val="0"/>
          <w:marBottom w:val="0"/>
          <w:divBdr>
            <w:top w:val="none" w:sz="0" w:space="0" w:color="auto"/>
            <w:left w:val="none" w:sz="0" w:space="0" w:color="auto"/>
            <w:bottom w:val="none" w:sz="0" w:space="0" w:color="auto"/>
            <w:right w:val="none" w:sz="0" w:space="0" w:color="auto"/>
          </w:divBdr>
        </w:div>
        <w:div w:id="1601181724">
          <w:marLeft w:val="0"/>
          <w:marRight w:val="0"/>
          <w:marTop w:val="0"/>
          <w:marBottom w:val="0"/>
          <w:divBdr>
            <w:top w:val="none" w:sz="0" w:space="0" w:color="auto"/>
            <w:left w:val="none" w:sz="0" w:space="0" w:color="auto"/>
            <w:bottom w:val="none" w:sz="0" w:space="0" w:color="auto"/>
            <w:right w:val="none" w:sz="0" w:space="0" w:color="auto"/>
          </w:divBdr>
        </w:div>
        <w:div w:id="1959216642">
          <w:marLeft w:val="0"/>
          <w:marRight w:val="0"/>
          <w:marTop w:val="0"/>
          <w:marBottom w:val="0"/>
          <w:divBdr>
            <w:top w:val="none" w:sz="0" w:space="0" w:color="auto"/>
            <w:left w:val="none" w:sz="0" w:space="0" w:color="auto"/>
            <w:bottom w:val="none" w:sz="0" w:space="0" w:color="auto"/>
            <w:right w:val="none" w:sz="0" w:space="0" w:color="auto"/>
          </w:divBdr>
        </w:div>
        <w:div w:id="1235582235">
          <w:marLeft w:val="0"/>
          <w:marRight w:val="0"/>
          <w:marTop w:val="0"/>
          <w:marBottom w:val="0"/>
          <w:divBdr>
            <w:top w:val="none" w:sz="0" w:space="0" w:color="auto"/>
            <w:left w:val="none" w:sz="0" w:space="0" w:color="auto"/>
            <w:bottom w:val="none" w:sz="0" w:space="0" w:color="auto"/>
            <w:right w:val="none" w:sz="0" w:space="0" w:color="auto"/>
          </w:divBdr>
        </w:div>
        <w:div w:id="571431125">
          <w:marLeft w:val="0"/>
          <w:marRight w:val="0"/>
          <w:marTop w:val="0"/>
          <w:marBottom w:val="0"/>
          <w:divBdr>
            <w:top w:val="none" w:sz="0" w:space="0" w:color="auto"/>
            <w:left w:val="none" w:sz="0" w:space="0" w:color="auto"/>
            <w:bottom w:val="none" w:sz="0" w:space="0" w:color="auto"/>
            <w:right w:val="none" w:sz="0" w:space="0" w:color="auto"/>
          </w:divBdr>
        </w:div>
        <w:div w:id="2002924438">
          <w:marLeft w:val="0"/>
          <w:marRight w:val="0"/>
          <w:marTop w:val="0"/>
          <w:marBottom w:val="0"/>
          <w:divBdr>
            <w:top w:val="none" w:sz="0" w:space="0" w:color="auto"/>
            <w:left w:val="none" w:sz="0" w:space="0" w:color="auto"/>
            <w:bottom w:val="none" w:sz="0" w:space="0" w:color="auto"/>
            <w:right w:val="none" w:sz="0" w:space="0" w:color="auto"/>
          </w:divBdr>
        </w:div>
        <w:div w:id="232280329">
          <w:marLeft w:val="0"/>
          <w:marRight w:val="0"/>
          <w:marTop w:val="0"/>
          <w:marBottom w:val="0"/>
          <w:divBdr>
            <w:top w:val="none" w:sz="0" w:space="0" w:color="auto"/>
            <w:left w:val="none" w:sz="0" w:space="0" w:color="auto"/>
            <w:bottom w:val="none" w:sz="0" w:space="0" w:color="auto"/>
            <w:right w:val="none" w:sz="0" w:space="0" w:color="auto"/>
          </w:divBdr>
        </w:div>
        <w:div w:id="1735857224">
          <w:marLeft w:val="0"/>
          <w:marRight w:val="0"/>
          <w:marTop w:val="0"/>
          <w:marBottom w:val="0"/>
          <w:divBdr>
            <w:top w:val="none" w:sz="0" w:space="0" w:color="auto"/>
            <w:left w:val="none" w:sz="0" w:space="0" w:color="auto"/>
            <w:bottom w:val="none" w:sz="0" w:space="0" w:color="auto"/>
            <w:right w:val="none" w:sz="0" w:space="0" w:color="auto"/>
          </w:divBdr>
        </w:div>
        <w:div w:id="567614027">
          <w:marLeft w:val="0"/>
          <w:marRight w:val="0"/>
          <w:marTop w:val="0"/>
          <w:marBottom w:val="0"/>
          <w:divBdr>
            <w:top w:val="none" w:sz="0" w:space="0" w:color="auto"/>
            <w:left w:val="none" w:sz="0" w:space="0" w:color="auto"/>
            <w:bottom w:val="none" w:sz="0" w:space="0" w:color="auto"/>
            <w:right w:val="none" w:sz="0" w:space="0" w:color="auto"/>
          </w:divBdr>
        </w:div>
        <w:div w:id="1094205121">
          <w:marLeft w:val="0"/>
          <w:marRight w:val="0"/>
          <w:marTop w:val="0"/>
          <w:marBottom w:val="0"/>
          <w:divBdr>
            <w:top w:val="none" w:sz="0" w:space="0" w:color="auto"/>
            <w:left w:val="none" w:sz="0" w:space="0" w:color="auto"/>
            <w:bottom w:val="none" w:sz="0" w:space="0" w:color="auto"/>
            <w:right w:val="none" w:sz="0" w:space="0" w:color="auto"/>
          </w:divBdr>
        </w:div>
        <w:div w:id="2065907753">
          <w:marLeft w:val="0"/>
          <w:marRight w:val="0"/>
          <w:marTop w:val="0"/>
          <w:marBottom w:val="0"/>
          <w:divBdr>
            <w:top w:val="none" w:sz="0" w:space="0" w:color="auto"/>
            <w:left w:val="none" w:sz="0" w:space="0" w:color="auto"/>
            <w:bottom w:val="none" w:sz="0" w:space="0" w:color="auto"/>
            <w:right w:val="none" w:sz="0" w:space="0" w:color="auto"/>
          </w:divBdr>
        </w:div>
        <w:div w:id="1882015511">
          <w:marLeft w:val="0"/>
          <w:marRight w:val="0"/>
          <w:marTop w:val="0"/>
          <w:marBottom w:val="0"/>
          <w:divBdr>
            <w:top w:val="none" w:sz="0" w:space="0" w:color="auto"/>
            <w:left w:val="none" w:sz="0" w:space="0" w:color="auto"/>
            <w:bottom w:val="none" w:sz="0" w:space="0" w:color="auto"/>
            <w:right w:val="none" w:sz="0" w:space="0" w:color="auto"/>
          </w:divBdr>
        </w:div>
        <w:div w:id="1599286335">
          <w:marLeft w:val="0"/>
          <w:marRight w:val="0"/>
          <w:marTop w:val="0"/>
          <w:marBottom w:val="0"/>
          <w:divBdr>
            <w:top w:val="none" w:sz="0" w:space="0" w:color="auto"/>
            <w:left w:val="none" w:sz="0" w:space="0" w:color="auto"/>
            <w:bottom w:val="none" w:sz="0" w:space="0" w:color="auto"/>
            <w:right w:val="none" w:sz="0" w:space="0" w:color="auto"/>
          </w:divBdr>
        </w:div>
        <w:div w:id="1973977074">
          <w:marLeft w:val="0"/>
          <w:marRight w:val="0"/>
          <w:marTop w:val="0"/>
          <w:marBottom w:val="0"/>
          <w:divBdr>
            <w:top w:val="none" w:sz="0" w:space="0" w:color="auto"/>
            <w:left w:val="none" w:sz="0" w:space="0" w:color="auto"/>
            <w:bottom w:val="none" w:sz="0" w:space="0" w:color="auto"/>
            <w:right w:val="none" w:sz="0" w:space="0" w:color="auto"/>
          </w:divBdr>
        </w:div>
        <w:div w:id="388574065">
          <w:marLeft w:val="0"/>
          <w:marRight w:val="0"/>
          <w:marTop w:val="0"/>
          <w:marBottom w:val="0"/>
          <w:divBdr>
            <w:top w:val="none" w:sz="0" w:space="0" w:color="auto"/>
            <w:left w:val="none" w:sz="0" w:space="0" w:color="auto"/>
            <w:bottom w:val="none" w:sz="0" w:space="0" w:color="auto"/>
            <w:right w:val="none" w:sz="0" w:space="0" w:color="auto"/>
          </w:divBdr>
        </w:div>
        <w:div w:id="767040283">
          <w:marLeft w:val="0"/>
          <w:marRight w:val="0"/>
          <w:marTop w:val="0"/>
          <w:marBottom w:val="0"/>
          <w:divBdr>
            <w:top w:val="none" w:sz="0" w:space="0" w:color="auto"/>
            <w:left w:val="none" w:sz="0" w:space="0" w:color="auto"/>
            <w:bottom w:val="none" w:sz="0" w:space="0" w:color="auto"/>
            <w:right w:val="none" w:sz="0" w:space="0" w:color="auto"/>
          </w:divBdr>
        </w:div>
        <w:div w:id="2107310113">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
        <w:div w:id="34044846">
          <w:marLeft w:val="0"/>
          <w:marRight w:val="0"/>
          <w:marTop w:val="0"/>
          <w:marBottom w:val="0"/>
          <w:divBdr>
            <w:top w:val="none" w:sz="0" w:space="0" w:color="auto"/>
            <w:left w:val="none" w:sz="0" w:space="0" w:color="auto"/>
            <w:bottom w:val="none" w:sz="0" w:space="0" w:color="auto"/>
            <w:right w:val="none" w:sz="0" w:space="0" w:color="auto"/>
          </w:divBdr>
        </w:div>
        <w:div w:id="1636644499">
          <w:marLeft w:val="0"/>
          <w:marRight w:val="0"/>
          <w:marTop w:val="0"/>
          <w:marBottom w:val="0"/>
          <w:divBdr>
            <w:top w:val="none" w:sz="0" w:space="0" w:color="auto"/>
            <w:left w:val="none" w:sz="0" w:space="0" w:color="auto"/>
            <w:bottom w:val="none" w:sz="0" w:space="0" w:color="auto"/>
            <w:right w:val="none" w:sz="0" w:space="0" w:color="auto"/>
          </w:divBdr>
        </w:div>
        <w:div w:id="1275594892">
          <w:marLeft w:val="0"/>
          <w:marRight w:val="0"/>
          <w:marTop w:val="0"/>
          <w:marBottom w:val="0"/>
          <w:divBdr>
            <w:top w:val="none" w:sz="0" w:space="0" w:color="auto"/>
            <w:left w:val="none" w:sz="0" w:space="0" w:color="auto"/>
            <w:bottom w:val="none" w:sz="0" w:space="0" w:color="auto"/>
            <w:right w:val="none" w:sz="0" w:space="0" w:color="auto"/>
          </w:divBdr>
        </w:div>
        <w:div w:id="1958871470">
          <w:marLeft w:val="0"/>
          <w:marRight w:val="0"/>
          <w:marTop w:val="0"/>
          <w:marBottom w:val="0"/>
          <w:divBdr>
            <w:top w:val="none" w:sz="0" w:space="0" w:color="auto"/>
            <w:left w:val="none" w:sz="0" w:space="0" w:color="auto"/>
            <w:bottom w:val="none" w:sz="0" w:space="0" w:color="auto"/>
            <w:right w:val="none" w:sz="0" w:space="0" w:color="auto"/>
          </w:divBdr>
        </w:div>
        <w:div w:id="2065132599">
          <w:marLeft w:val="0"/>
          <w:marRight w:val="0"/>
          <w:marTop w:val="0"/>
          <w:marBottom w:val="0"/>
          <w:divBdr>
            <w:top w:val="none" w:sz="0" w:space="0" w:color="auto"/>
            <w:left w:val="none" w:sz="0" w:space="0" w:color="auto"/>
            <w:bottom w:val="none" w:sz="0" w:space="0" w:color="auto"/>
            <w:right w:val="none" w:sz="0" w:space="0" w:color="auto"/>
          </w:divBdr>
        </w:div>
        <w:div w:id="888539614">
          <w:marLeft w:val="0"/>
          <w:marRight w:val="0"/>
          <w:marTop w:val="0"/>
          <w:marBottom w:val="0"/>
          <w:divBdr>
            <w:top w:val="none" w:sz="0" w:space="0" w:color="auto"/>
            <w:left w:val="none" w:sz="0" w:space="0" w:color="auto"/>
            <w:bottom w:val="none" w:sz="0" w:space="0" w:color="auto"/>
            <w:right w:val="none" w:sz="0" w:space="0" w:color="auto"/>
          </w:divBdr>
        </w:div>
        <w:div w:id="154106442">
          <w:marLeft w:val="0"/>
          <w:marRight w:val="0"/>
          <w:marTop w:val="0"/>
          <w:marBottom w:val="0"/>
          <w:divBdr>
            <w:top w:val="none" w:sz="0" w:space="0" w:color="auto"/>
            <w:left w:val="none" w:sz="0" w:space="0" w:color="auto"/>
            <w:bottom w:val="none" w:sz="0" w:space="0" w:color="auto"/>
            <w:right w:val="none" w:sz="0" w:space="0" w:color="auto"/>
          </w:divBdr>
        </w:div>
        <w:div w:id="44528381">
          <w:marLeft w:val="0"/>
          <w:marRight w:val="0"/>
          <w:marTop w:val="0"/>
          <w:marBottom w:val="0"/>
          <w:divBdr>
            <w:top w:val="none" w:sz="0" w:space="0" w:color="auto"/>
            <w:left w:val="none" w:sz="0" w:space="0" w:color="auto"/>
            <w:bottom w:val="none" w:sz="0" w:space="0" w:color="auto"/>
            <w:right w:val="none" w:sz="0" w:space="0" w:color="auto"/>
          </w:divBdr>
        </w:div>
        <w:div w:id="79260160">
          <w:marLeft w:val="0"/>
          <w:marRight w:val="0"/>
          <w:marTop w:val="0"/>
          <w:marBottom w:val="0"/>
          <w:divBdr>
            <w:top w:val="none" w:sz="0" w:space="0" w:color="auto"/>
            <w:left w:val="none" w:sz="0" w:space="0" w:color="auto"/>
            <w:bottom w:val="none" w:sz="0" w:space="0" w:color="auto"/>
            <w:right w:val="none" w:sz="0" w:space="0" w:color="auto"/>
          </w:divBdr>
        </w:div>
        <w:div w:id="673999267">
          <w:marLeft w:val="0"/>
          <w:marRight w:val="0"/>
          <w:marTop w:val="0"/>
          <w:marBottom w:val="0"/>
          <w:divBdr>
            <w:top w:val="none" w:sz="0" w:space="0" w:color="auto"/>
            <w:left w:val="none" w:sz="0" w:space="0" w:color="auto"/>
            <w:bottom w:val="none" w:sz="0" w:space="0" w:color="auto"/>
            <w:right w:val="none" w:sz="0" w:space="0" w:color="auto"/>
          </w:divBdr>
        </w:div>
        <w:div w:id="1069957925">
          <w:marLeft w:val="0"/>
          <w:marRight w:val="0"/>
          <w:marTop w:val="0"/>
          <w:marBottom w:val="0"/>
          <w:divBdr>
            <w:top w:val="none" w:sz="0" w:space="0" w:color="auto"/>
            <w:left w:val="none" w:sz="0" w:space="0" w:color="auto"/>
            <w:bottom w:val="none" w:sz="0" w:space="0" w:color="auto"/>
            <w:right w:val="none" w:sz="0" w:space="0" w:color="auto"/>
          </w:divBdr>
        </w:div>
        <w:div w:id="176626477">
          <w:marLeft w:val="0"/>
          <w:marRight w:val="0"/>
          <w:marTop w:val="0"/>
          <w:marBottom w:val="0"/>
          <w:divBdr>
            <w:top w:val="none" w:sz="0" w:space="0" w:color="auto"/>
            <w:left w:val="none" w:sz="0" w:space="0" w:color="auto"/>
            <w:bottom w:val="none" w:sz="0" w:space="0" w:color="auto"/>
            <w:right w:val="none" w:sz="0" w:space="0" w:color="auto"/>
          </w:divBdr>
        </w:div>
        <w:div w:id="525363413">
          <w:marLeft w:val="0"/>
          <w:marRight w:val="0"/>
          <w:marTop w:val="0"/>
          <w:marBottom w:val="0"/>
          <w:divBdr>
            <w:top w:val="none" w:sz="0" w:space="0" w:color="auto"/>
            <w:left w:val="none" w:sz="0" w:space="0" w:color="auto"/>
            <w:bottom w:val="none" w:sz="0" w:space="0" w:color="auto"/>
            <w:right w:val="none" w:sz="0" w:space="0" w:color="auto"/>
          </w:divBdr>
        </w:div>
        <w:div w:id="1821389018">
          <w:marLeft w:val="0"/>
          <w:marRight w:val="0"/>
          <w:marTop w:val="0"/>
          <w:marBottom w:val="0"/>
          <w:divBdr>
            <w:top w:val="none" w:sz="0" w:space="0" w:color="auto"/>
            <w:left w:val="none" w:sz="0" w:space="0" w:color="auto"/>
            <w:bottom w:val="none" w:sz="0" w:space="0" w:color="auto"/>
            <w:right w:val="none" w:sz="0" w:space="0" w:color="auto"/>
          </w:divBdr>
        </w:div>
        <w:div w:id="931741042">
          <w:marLeft w:val="0"/>
          <w:marRight w:val="0"/>
          <w:marTop w:val="0"/>
          <w:marBottom w:val="0"/>
          <w:divBdr>
            <w:top w:val="none" w:sz="0" w:space="0" w:color="auto"/>
            <w:left w:val="none" w:sz="0" w:space="0" w:color="auto"/>
            <w:bottom w:val="none" w:sz="0" w:space="0" w:color="auto"/>
            <w:right w:val="none" w:sz="0" w:space="0" w:color="auto"/>
          </w:divBdr>
        </w:div>
      </w:divsChild>
    </w:div>
    <w:div w:id="1801529284">
      <w:bodyDiv w:val="1"/>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2125154866">
              <w:marLeft w:val="0"/>
              <w:marRight w:val="0"/>
              <w:marTop w:val="0"/>
              <w:marBottom w:val="0"/>
              <w:divBdr>
                <w:top w:val="none" w:sz="0" w:space="0" w:color="auto"/>
                <w:left w:val="none" w:sz="0" w:space="0" w:color="auto"/>
                <w:bottom w:val="none" w:sz="0" w:space="0" w:color="auto"/>
                <w:right w:val="none" w:sz="0" w:space="0" w:color="auto"/>
              </w:divBdr>
            </w:div>
            <w:div w:id="451946921">
              <w:marLeft w:val="0"/>
              <w:marRight w:val="0"/>
              <w:marTop w:val="0"/>
              <w:marBottom w:val="0"/>
              <w:divBdr>
                <w:top w:val="none" w:sz="0" w:space="0" w:color="auto"/>
                <w:left w:val="none" w:sz="0" w:space="0" w:color="auto"/>
                <w:bottom w:val="none" w:sz="0" w:space="0" w:color="auto"/>
                <w:right w:val="none" w:sz="0" w:space="0" w:color="auto"/>
              </w:divBdr>
              <w:divsChild>
                <w:div w:id="2085028568">
                  <w:marLeft w:val="0"/>
                  <w:marRight w:val="0"/>
                  <w:marTop w:val="0"/>
                  <w:marBottom w:val="0"/>
                  <w:divBdr>
                    <w:top w:val="none" w:sz="0" w:space="0" w:color="auto"/>
                    <w:left w:val="none" w:sz="0" w:space="0" w:color="auto"/>
                    <w:bottom w:val="none" w:sz="0" w:space="0" w:color="auto"/>
                    <w:right w:val="none" w:sz="0" w:space="0" w:color="auto"/>
                  </w:divBdr>
                </w:div>
              </w:divsChild>
            </w:div>
            <w:div w:id="11539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lri.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iit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nguardngr.com/2011/06/poor-yield-in-agriculture-traced-to-low-use-of-fertilizers-in-nigeria/" TargetMode="External"/><Relationship Id="rId4" Type="http://schemas.openxmlformats.org/officeDocument/2006/relationships/hyperlink" Target="http://fsg.afre.msu.edu/gisaia/Osho_Fertilizer_and_Food_Security.pdf" TargetMode="External"/><Relationship Id="rId5" Type="http://schemas.openxmlformats.org/officeDocument/2006/relationships/hyperlink" Target="http://www.waapp.ng.gov" TargetMode="External"/><Relationship Id="rId6" Type="http://schemas.openxmlformats.org/officeDocument/2006/relationships/hyperlink" Target="http://www.nigeriamarkets.org" TargetMode="External"/><Relationship Id="rId7" Type="http://schemas.openxmlformats.org/officeDocument/2006/relationships/hyperlink" Target="http://Databank.worldbank.org" TargetMode="External"/><Relationship Id="rId8" Type="http://schemas.openxmlformats.org/officeDocument/2006/relationships/hyperlink" Target="http://Databank.worldbank.org" TargetMode="External"/><Relationship Id="rId9" Type="http://schemas.openxmlformats.org/officeDocument/2006/relationships/hyperlink" Target="http://www.researchictafrica.net/presentations/Presentations/2012%20Calandro%20Stork%20Gillwald%20-%20Internet%20Going%20Mobile-%20Internet%20access%20and%20usage%20in%20eleven%20African%20countries%20.pdf" TargetMode="External"/><Relationship Id="rId10" Type="http://schemas.openxmlformats.org/officeDocument/2006/relationships/hyperlink" Target="mailto:benobed@yahoo.com" TargetMode="External"/><Relationship Id="rId11" Type="http://schemas.openxmlformats.org/officeDocument/2006/relationships/hyperlink" Target="mailto:gsahelrural@gmail.com" TargetMode="External"/><Relationship Id="rId1" Type="http://schemas.openxmlformats.org/officeDocument/2006/relationships/hyperlink" Target="https://www.cia.gov/library/publications/the-world-factbook/" TargetMode="External"/><Relationship Id="rId2" Type="http://schemas.openxmlformats.org/officeDocument/2006/relationships/hyperlink" Target="http://www.fao.org/economic/ess/ess-publications/ess-yearbo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4205-50E8-9242-958F-FC2A47F8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6140</Words>
  <Characters>35002</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Duncan  Sones</cp:lastModifiedBy>
  <cp:revision>2</cp:revision>
  <dcterms:created xsi:type="dcterms:W3CDTF">2016-09-22T08:52:00Z</dcterms:created>
  <dcterms:modified xsi:type="dcterms:W3CDTF">2016-09-22T08:52:00Z</dcterms:modified>
</cp:coreProperties>
</file>